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3A6E1" w14:textId="77777777" w:rsidR="003D7554" w:rsidRPr="0032017A" w:rsidRDefault="003D7554" w:rsidP="00D04711">
      <w:pPr>
        <w:pStyle w:val="BodyB"/>
        <w:tabs>
          <w:tab w:val="clear" w:pos="8064"/>
          <w:tab w:val="clear" w:pos="9029"/>
          <w:tab w:val="left" w:pos="7800"/>
          <w:tab w:val="right" w:pos="8280"/>
        </w:tabs>
        <w:spacing w:line="360" w:lineRule="auto"/>
        <w:rPr>
          <w:b/>
          <w:sz w:val="24"/>
          <w:szCs w:val="24"/>
        </w:rPr>
      </w:pPr>
      <w:bookmarkStart w:id="0" w:name="_GoBack"/>
      <w:bookmarkEnd w:id="0"/>
      <w:r w:rsidRPr="0032017A">
        <w:rPr>
          <w:b/>
          <w:sz w:val="24"/>
          <w:szCs w:val="24"/>
        </w:rPr>
        <w:t>To what extent is there room to apply creatively common law doctrine to combat, in the UK courts, the damage to the environment resulting from climate change?</w:t>
      </w:r>
    </w:p>
    <w:p w14:paraId="6CB3FD22" w14:textId="2B0F09F0" w:rsidR="001002CC" w:rsidRDefault="007A3639" w:rsidP="00D04711">
      <w:pPr>
        <w:spacing w:line="360" w:lineRule="auto"/>
        <w:jc w:val="both"/>
        <w:rPr>
          <w:rFonts w:ascii="Times New Roman" w:hAnsi="Times New Roman" w:cs="Times New Roman"/>
        </w:rPr>
      </w:pPr>
      <w:r>
        <w:rPr>
          <w:rFonts w:ascii="Times New Roman" w:hAnsi="Times New Roman" w:cs="Times New Roman"/>
        </w:rPr>
        <w:t>__</w:t>
      </w:r>
    </w:p>
    <w:p w14:paraId="5BEE9498" w14:textId="6AC75FCF" w:rsidR="003D466E" w:rsidRDefault="003D466E" w:rsidP="00D04711">
      <w:pPr>
        <w:spacing w:line="360" w:lineRule="auto"/>
        <w:jc w:val="both"/>
        <w:rPr>
          <w:rFonts w:ascii="Times New Roman" w:hAnsi="Times New Roman" w:cs="Times New Roman"/>
        </w:rPr>
      </w:pPr>
    </w:p>
    <w:p w14:paraId="5D000A1C" w14:textId="6579DDBF" w:rsidR="002710F0" w:rsidRDefault="00B7607C" w:rsidP="00D04711">
      <w:pPr>
        <w:spacing w:line="360" w:lineRule="auto"/>
        <w:jc w:val="both"/>
        <w:rPr>
          <w:rFonts w:ascii="Times New Roman" w:hAnsi="Times New Roman" w:cs="Times New Roman"/>
        </w:rPr>
      </w:pPr>
      <w:r>
        <w:rPr>
          <w:rFonts w:ascii="Times New Roman" w:hAnsi="Times New Roman" w:cs="Times New Roman"/>
        </w:rPr>
        <w:t>It is striking the frequency with which academics and activists around the world have, over the past two decades, enthused about the potential for common law to be used to combat environmental damage resulting from climate change. Indeed, recent commentary has drawn attention to the potential for UK common law to be used to this end</w:t>
      </w:r>
      <w:r w:rsidR="00FC1138">
        <w:rPr>
          <w:rFonts w:ascii="Times New Roman" w:hAnsi="Times New Roman" w:cs="Times New Roman"/>
        </w:rPr>
        <w:t>, particularly claims for public nuisance and negligence</w:t>
      </w:r>
      <w:r>
        <w:rPr>
          <w:rFonts w:ascii="Times New Roman" w:hAnsi="Times New Roman" w:cs="Times New Roman"/>
        </w:rPr>
        <w:t>.</w:t>
      </w:r>
      <w:r w:rsidRPr="00B7607C">
        <w:rPr>
          <w:rStyle w:val="FootnoteReference"/>
          <w:rFonts w:ascii="Times New Roman" w:hAnsi="Times New Roman" w:cs="Times New Roman"/>
        </w:rPr>
        <w:t xml:space="preserve"> </w:t>
      </w:r>
      <w:r>
        <w:rPr>
          <w:rStyle w:val="FootnoteReference"/>
          <w:rFonts w:ascii="Times New Roman" w:hAnsi="Times New Roman" w:cs="Times New Roman"/>
        </w:rPr>
        <w:footnoteReference w:id="1"/>
      </w:r>
      <w:r>
        <w:rPr>
          <w:rFonts w:ascii="Times New Roman" w:hAnsi="Times New Roman" w:cs="Times New Roman"/>
        </w:rPr>
        <w:t xml:space="preserve"> </w:t>
      </w:r>
      <w:r w:rsidR="00573A5A">
        <w:rPr>
          <w:rFonts w:ascii="Times New Roman" w:hAnsi="Times New Roman" w:cs="Times New Roman"/>
        </w:rPr>
        <w:t>Yet there is a noticeable mismatch between th</w:t>
      </w:r>
      <w:r>
        <w:rPr>
          <w:rFonts w:ascii="Times New Roman" w:hAnsi="Times New Roman" w:cs="Times New Roman"/>
        </w:rPr>
        <w:t>e</w:t>
      </w:r>
      <w:r w:rsidR="00573A5A">
        <w:rPr>
          <w:rFonts w:ascii="Times New Roman" w:hAnsi="Times New Roman" w:cs="Times New Roman"/>
        </w:rPr>
        <w:t xml:space="preserve"> literature and the present situation, for there have been few instances of climate change litigation (CCL) in the UK, and none involving common law doctrine.</w:t>
      </w:r>
      <w:r w:rsidR="00AF645C">
        <w:rPr>
          <w:rStyle w:val="FootnoteReference"/>
          <w:rFonts w:ascii="Times New Roman" w:hAnsi="Times New Roman" w:cs="Times New Roman"/>
        </w:rPr>
        <w:footnoteReference w:id="2"/>
      </w:r>
      <w:r w:rsidR="00573A5A">
        <w:rPr>
          <w:rFonts w:ascii="Times New Roman" w:hAnsi="Times New Roman" w:cs="Times New Roman"/>
        </w:rPr>
        <w:t xml:space="preserve"> This is </w:t>
      </w:r>
      <w:r w:rsidR="00F775C4">
        <w:rPr>
          <w:rFonts w:ascii="Times New Roman" w:hAnsi="Times New Roman" w:cs="Times New Roman"/>
        </w:rPr>
        <w:t xml:space="preserve">perhaps </w:t>
      </w:r>
      <w:r w:rsidR="00573A5A">
        <w:rPr>
          <w:rFonts w:ascii="Times New Roman" w:hAnsi="Times New Roman" w:cs="Times New Roman"/>
        </w:rPr>
        <w:t xml:space="preserve">a reflection of the UK </w:t>
      </w:r>
      <w:r w:rsidR="0011169A">
        <w:rPr>
          <w:rFonts w:ascii="Times New Roman" w:hAnsi="Times New Roman" w:cs="Times New Roman"/>
        </w:rPr>
        <w:t>context</w:t>
      </w:r>
      <w:r w:rsidR="00093B1C">
        <w:rPr>
          <w:rFonts w:ascii="Times New Roman" w:hAnsi="Times New Roman" w:cs="Times New Roman"/>
        </w:rPr>
        <w:t xml:space="preserve">, </w:t>
      </w:r>
      <w:r w:rsidR="00FC1138">
        <w:rPr>
          <w:rFonts w:ascii="Times New Roman" w:hAnsi="Times New Roman" w:cs="Times New Roman"/>
        </w:rPr>
        <w:t>not least</w:t>
      </w:r>
      <w:r w:rsidR="00533ECE">
        <w:rPr>
          <w:rFonts w:ascii="Times New Roman" w:hAnsi="Times New Roman" w:cs="Times New Roman"/>
        </w:rPr>
        <w:t xml:space="preserve"> the </w:t>
      </w:r>
      <w:r w:rsidR="001F7666">
        <w:rPr>
          <w:rFonts w:ascii="Times New Roman" w:hAnsi="Times New Roman" w:cs="Times New Roman"/>
        </w:rPr>
        <w:t xml:space="preserve">high </w:t>
      </w:r>
      <w:r w:rsidR="00533ECE">
        <w:rPr>
          <w:rFonts w:ascii="Times New Roman" w:hAnsi="Times New Roman" w:cs="Times New Roman"/>
        </w:rPr>
        <w:t xml:space="preserve">costs </w:t>
      </w:r>
      <w:r w:rsidR="001F7666">
        <w:rPr>
          <w:rFonts w:ascii="Times New Roman" w:hAnsi="Times New Roman" w:cs="Times New Roman"/>
        </w:rPr>
        <w:t>of taking legal action</w:t>
      </w:r>
      <w:r w:rsidR="00573A5A">
        <w:rPr>
          <w:rStyle w:val="FootnoteReference"/>
          <w:rFonts w:ascii="Times New Roman" w:hAnsi="Times New Roman" w:cs="Times New Roman"/>
        </w:rPr>
        <w:footnoteReference w:id="3"/>
      </w:r>
      <w:r w:rsidR="001F7666">
        <w:rPr>
          <w:rFonts w:ascii="Times New Roman" w:hAnsi="Times New Roman" w:cs="Times New Roman"/>
        </w:rPr>
        <w:t xml:space="preserve">, plus </w:t>
      </w:r>
      <w:r w:rsidR="0065623B">
        <w:rPr>
          <w:rFonts w:ascii="Times New Roman" w:hAnsi="Times New Roman" w:cs="Times New Roman"/>
        </w:rPr>
        <w:t xml:space="preserve">the </w:t>
      </w:r>
      <w:r w:rsidR="00573A5A">
        <w:rPr>
          <w:rFonts w:ascii="Times New Roman" w:hAnsi="Times New Roman" w:cs="Times New Roman"/>
        </w:rPr>
        <w:t xml:space="preserve">government’s </w:t>
      </w:r>
      <w:r w:rsidR="00F775C4">
        <w:rPr>
          <w:rFonts w:ascii="Times New Roman" w:hAnsi="Times New Roman" w:cs="Times New Roman"/>
        </w:rPr>
        <w:t xml:space="preserve">already </w:t>
      </w:r>
      <w:r w:rsidR="00573A5A">
        <w:rPr>
          <w:rFonts w:ascii="Times New Roman" w:hAnsi="Times New Roman" w:cs="Times New Roman"/>
        </w:rPr>
        <w:t>onerous commitment to reducing emissions.</w:t>
      </w:r>
      <w:r w:rsidR="00573A5A">
        <w:rPr>
          <w:rStyle w:val="FootnoteReference"/>
          <w:rFonts w:ascii="Times New Roman" w:hAnsi="Times New Roman" w:cs="Times New Roman"/>
        </w:rPr>
        <w:footnoteReference w:id="4"/>
      </w:r>
      <w:r w:rsidR="00573A5A">
        <w:rPr>
          <w:rFonts w:ascii="Times New Roman" w:hAnsi="Times New Roman" w:cs="Times New Roman"/>
        </w:rPr>
        <w:t xml:space="preserve"> This analysis is sympathetic to these explanations. However, it is animated by a broader point</w:t>
      </w:r>
      <w:r w:rsidR="00AF645C">
        <w:rPr>
          <w:rFonts w:ascii="Times New Roman" w:hAnsi="Times New Roman" w:cs="Times New Roman"/>
        </w:rPr>
        <w:t xml:space="preserve"> –</w:t>
      </w:r>
      <w:r w:rsidR="00573A5A">
        <w:rPr>
          <w:rFonts w:ascii="Times New Roman" w:hAnsi="Times New Roman" w:cs="Times New Roman"/>
        </w:rPr>
        <w:t xml:space="preserve"> that there is limited room to apply common law doctrine </w:t>
      </w:r>
      <w:r w:rsidR="00093B1C">
        <w:rPr>
          <w:rFonts w:ascii="Times New Roman" w:hAnsi="Times New Roman" w:cs="Times New Roman"/>
        </w:rPr>
        <w:t>creatively</w:t>
      </w:r>
      <w:r w:rsidR="00573A5A">
        <w:rPr>
          <w:rFonts w:ascii="Times New Roman" w:hAnsi="Times New Roman" w:cs="Times New Roman"/>
        </w:rPr>
        <w:t xml:space="preserve"> in the UK courts </w:t>
      </w:r>
      <w:r w:rsidR="00AB5812">
        <w:rPr>
          <w:rFonts w:ascii="Times New Roman" w:hAnsi="Times New Roman" w:cs="Times New Roman"/>
        </w:rPr>
        <w:t xml:space="preserve">so </w:t>
      </w:r>
      <w:r w:rsidR="00573A5A">
        <w:rPr>
          <w:rFonts w:ascii="Times New Roman" w:hAnsi="Times New Roman" w:cs="Times New Roman"/>
        </w:rPr>
        <w:t xml:space="preserve">as to combat environmental damage caused by climate change. Rather, this analysis will show that though the doctrines of </w:t>
      </w:r>
      <w:r w:rsidR="006C3464">
        <w:rPr>
          <w:rFonts w:ascii="Times New Roman" w:hAnsi="Times New Roman" w:cs="Times New Roman"/>
        </w:rPr>
        <w:t>nuisance</w:t>
      </w:r>
      <w:r w:rsidR="00573A5A">
        <w:rPr>
          <w:rFonts w:ascii="Times New Roman" w:hAnsi="Times New Roman" w:cs="Times New Roman"/>
        </w:rPr>
        <w:t xml:space="preserve"> and </w:t>
      </w:r>
      <w:r w:rsidR="006C3464">
        <w:rPr>
          <w:rFonts w:ascii="Times New Roman" w:hAnsi="Times New Roman" w:cs="Times New Roman"/>
        </w:rPr>
        <w:t>negligence</w:t>
      </w:r>
      <w:r w:rsidR="00573A5A">
        <w:rPr>
          <w:rFonts w:ascii="Times New Roman" w:hAnsi="Times New Roman" w:cs="Times New Roman"/>
        </w:rPr>
        <w:t xml:space="preserve"> lend themselves most readily to CCL</w:t>
      </w:r>
      <w:r w:rsidR="00141410">
        <w:rPr>
          <w:rStyle w:val="FootnoteReference"/>
          <w:rFonts w:ascii="Times New Roman" w:hAnsi="Times New Roman" w:cs="Times New Roman"/>
        </w:rPr>
        <w:footnoteReference w:id="5"/>
      </w:r>
      <w:r w:rsidR="00573A5A">
        <w:rPr>
          <w:rFonts w:ascii="Times New Roman" w:hAnsi="Times New Roman" w:cs="Times New Roman"/>
        </w:rPr>
        <w:t xml:space="preserve">, </w:t>
      </w:r>
      <w:r w:rsidR="00231F85">
        <w:rPr>
          <w:rFonts w:ascii="Times New Roman" w:hAnsi="Times New Roman" w:cs="Times New Roman"/>
        </w:rPr>
        <w:t xml:space="preserve">there is limited room to apply them to damage to the environment that has resulted from climate change. </w:t>
      </w:r>
      <w:r w:rsidR="00A94152">
        <w:rPr>
          <w:rFonts w:ascii="Times New Roman" w:hAnsi="Times New Roman" w:cs="Times New Roman"/>
        </w:rPr>
        <w:t>The reasons for this are two-fold</w:t>
      </w:r>
      <w:r w:rsidR="00D325EF">
        <w:rPr>
          <w:rFonts w:ascii="Times New Roman" w:hAnsi="Times New Roman" w:cs="Times New Roman"/>
        </w:rPr>
        <w:t xml:space="preserve"> – a </w:t>
      </w:r>
      <w:r w:rsidR="00231F85">
        <w:rPr>
          <w:rFonts w:ascii="Times New Roman" w:hAnsi="Times New Roman" w:cs="Times New Roman"/>
        </w:rPr>
        <w:t xml:space="preserve">judicial </w:t>
      </w:r>
      <w:r w:rsidR="002E4990">
        <w:rPr>
          <w:rFonts w:ascii="Times New Roman" w:hAnsi="Times New Roman" w:cs="Times New Roman"/>
        </w:rPr>
        <w:t>reluctance</w:t>
      </w:r>
      <w:r w:rsidR="00231F85">
        <w:rPr>
          <w:rFonts w:ascii="Times New Roman" w:hAnsi="Times New Roman" w:cs="Times New Roman"/>
        </w:rPr>
        <w:t xml:space="preserve"> to develop common law</w:t>
      </w:r>
      <w:r w:rsidR="00D325EF">
        <w:rPr>
          <w:rFonts w:ascii="Times New Roman" w:hAnsi="Times New Roman" w:cs="Times New Roman"/>
        </w:rPr>
        <w:t xml:space="preserve">, and </w:t>
      </w:r>
      <w:r w:rsidR="00231F85">
        <w:rPr>
          <w:rFonts w:ascii="Times New Roman" w:hAnsi="Times New Roman" w:cs="Times New Roman"/>
        </w:rPr>
        <w:t>the difficulty of satisfying legal understandings of causation</w:t>
      </w:r>
      <w:r w:rsidR="006D1C0E">
        <w:rPr>
          <w:rFonts w:ascii="Times New Roman" w:hAnsi="Times New Roman" w:cs="Times New Roman"/>
        </w:rPr>
        <w:t>.</w:t>
      </w:r>
      <w:r w:rsidR="00527594">
        <w:rPr>
          <w:rFonts w:ascii="Times New Roman" w:hAnsi="Times New Roman" w:cs="Times New Roman"/>
        </w:rPr>
        <w:t xml:space="preserve"> </w:t>
      </w:r>
      <w:r w:rsidR="00141410">
        <w:rPr>
          <w:rFonts w:ascii="Times New Roman" w:hAnsi="Times New Roman" w:cs="Times New Roman"/>
        </w:rPr>
        <w:t>T</w:t>
      </w:r>
      <w:r w:rsidR="002710F0">
        <w:rPr>
          <w:rFonts w:ascii="Times New Roman" w:hAnsi="Times New Roman" w:cs="Times New Roman"/>
        </w:rPr>
        <w:t>his analysis</w:t>
      </w:r>
      <w:r w:rsidR="00141410">
        <w:rPr>
          <w:rFonts w:ascii="Times New Roman" w:hAnsi="Times New Roman" w:cs="Times New Roman"/>
        </w:rPr>
        <w:t xml:space="preserve"> </w:t>
      </w:r>
      <w:r w:rsidR="002710F0">
        <w:rPr>
          <w:rFonts w:ascii="Times New Roman" w:hAnsi="Times New Roman" w:cs="Times New Roman"/>
        </w:rPr>
        <w:t xml:space="preserve">begins with an overview </w:t>
      </w:r>
      <w:r w:rsidR="00231F85">
        <w:rPr>
          <w:rFonts w:ascii="Times New Roman" w:hAnsi="Times New Roman" w:cs="Times New Roman"/>
        </w:rPr>
        <w:t xml:space="preserve">of </w:t>
      </w:r>
      <w:r w:rsidR="002710F0">
        <w:rPr>
          <w:rFonts w:ascii="Times New Roman" w:hAnsi="Times New Roman" w:cs="Times New Roman"/>
        </w:rPr>
        <w:t xml:space="preserve">what has been identified as </w:t>
      </w:r>
      <w:r w:rsidR="00231F85">
        <w:rPr>
          <w:rFonts w:ascii="Times New Roman" w:hAnsi="Times New Roman" w:cs="Times New Roman"/>
        </w:rPr>
        <w:t>the potential utility of nuisance and negligence in future CCL</w:t>
      </w:r>
      <w:r w:rsidR="00ED69B1">
        <w:rPr>
          <w:rFonts w:ascii="Times New Roman" w:hAnsi="Times New Roman" w:cs="Times New Roman"/>
        </w:rPr>
        <w:t xml:space="preserve">, before going </w:t>
      </w:r>
      <w:r w:rsidR="002710F0">
        <w:rPr>
          <w:rFonts w:ascii="Times New Roman" w:hAnsi="Times New Roman" w:cs="Times New Roman"/>
        </w:rPr>
        <w:t xml:space="preserve">on to argue that </w:t>
      </w:r>
      <w:r w:rsidR="003B0D41">
        <w:rPr>
          <w:rFonts w:ascii="Times New Roman" w:hAnsi="Times New Roman" w:cs="Times New Roman"/>
        </w:rPr>
        <w:t>judicial reluctance and legal models of causation will ensure that the promise of future CCL is unlikely to materialise.</w:t>
      </w:r>
    </w:p>
    <w:p w14:paraId="010B7FE5" w14:textId="7349F63E" w:rsidR="009D6AAF" w:rsidRDefault="009D6AAF" w:rsidP="00D04711">
      <w:pPr>
        <w:spacing w:line="360" w:lineRule="auto"/>
        <w:jc w:val="both"/>
        <w:rPr>
          <w:rFonts w:ascii="Times New Roman" w:hAnsi="Times New Roman" w:cs="Times New Roman"/>
        </w:rPr>
      </w:pPr>
    </w:p>
    <w:p w14:paraId="6A29617A" w14:textId="1927E0E9" w:rsidR="00106976" w:rsidRDefault="00106976" w:rsidP="00D04711">
      <w:pPr>
        <w:spacing w:line="360" w:lineRule="auto"/>
        <w:jc w:val="both"/>
        <w:rPr>
          <w:rFonts w:ascii="Times New Roman" w:hAnsi="Times New Roman" w:cs="Times New Roman"/>
        </w:rPr>
      </w:pPr>
      <w:r w:rsidRPr="0032017A">
        <w:rPr>
          <w:rFonts w:ascii="Times New Roman" w:hAnsi="Times New Roman" w:cs="Times New Roman"/>
          <w:b/>
        </w:rPr>
        <w:lastRenderedPageBreak/>
        <w:t xml:space="preserve">The </w:t>
      </w:r>
      <w:r w:rsidR="00FC1138">
        <w:rPr>
          <w:rFonts w:ascii="Times New Roman" w:hAnsi="Times New Roman" w:cs="Times New Roman"/>
          <w:b/>
        </w:rPr>
        <w:t>Potential Utility of Nuisance and Negligence.</w:t>
      </w:r>
    </w:p>
    <w:p w14:paraId="1EEED7C3" w14:textId="117584DE" w:rsidR="00F247EA" w:rsidRDefault="00A70C4B" w:rsidP="00D04711">
      <w:pPr>
        <w:spacing w:line="360" w:lineRule="auto"/>
        <w:jc w:val="both"/>
        <w:rPr>
          <w:rFonts w:ascii="Times New Roman" w:hAnsi="Times New Roman" w:cs="Times New Roman"/>
        </w:rPr>
      </w:pPr>
      <w:r>
        <w:rPr>
          <w:rFonts w:ascii="Times New Roman" w:hAnsi="Times New Roman" w:cs="Times New Roman"/>
        </w:rPr>
        <w:t>Public nuisance can be defined as an</w:t>
      </w:r>
      <w:r w:rsidR="006E61E6">
        <w:rPr>
          <w:rFonts w:ascii="Times New Roman" w:hAnsi="Times New Roman" w:cs="Times New Roman"/>
        </w:rPr>
        <w:t xml:space="preserve"> act or omission which threatens the safety or health of the population at large. The latter is both a crime and a tort, but only actionable in tort when an individual has</w:t>
      </w:r>
      <w:r w:rsidR="004F2E8C">
        <w:rPr>
          <w:rFonts w:ascii="Times New Roman" w:hAnsi="Times New Roman" w:cs="Times New Roman"/>
        </w:rPr>
        <w:t xml:space="preserve"> </w:t>
      </w:r>
      <w:r w:rsidR="006E61E6">
        <w:rPr>
          <w:rFonts w:ascii="Times New Roman" w:hAnsi="Times New Roman" w:cs="Times New Roman"/>
        </w:rPr>
        <w:t xml:space="preserve">suffered particular damage over and </w:t>
      </w:r>
      <w:r w:rsidR="00384D4C">
        <w:rPr>
          <w:rFonts w:ascii="Times New Roman" w:hAnsi="Times New Roman" w:cs="Times New Roman"/>
        </w:rPr>
        <w:t>above</w:t>
      </w:r>
      <w:r w:rsidR="006E61E6">
        <w:rPr>
          <w:rFonts w:ascii="Times New Roman" w:hAnsi="Times New Roman" w:cs="Times New Roman"/>
        </w:rPr>
        <w:t xml:space="preserve"> the public at large.</w:t>
      </w:r>
      <w:r w:rsidR="00384D4C">
        <w:rPr>
          <w:rStyle w:val="FootnoteReference"/>
          <w:rFonts w:ascii="Times New Roman" w:hAnsi="Times New Roman" w:cs="Times New Roman"/>
        </w:rPr>
        <w:footnoteReference w:id="6"/>
      </w:r>
      <w:r w:rsidR="006E4607">
        <w:rPr>
          <w:rFonts w:ascii="Times New Roman" w:hAnsi="Times New Roman" w:cs="Times New Roman"/>
        </w:rPr>
        <w:t xml:space="preserve"> </w:t>
      </w:r>
      <w:r w:rsidR="00B22C2B">
        <w:rPr>
          <w:rFonts w:ascii="Times New Roman" w:hAnsi="Times New Roman" w:cs="Times New Roman"/>
        </w:rPr>
        <w:t>The claimant must then prove that</w:t>
      </w:r>
      <w:r w:rsidR="006E4607">
        <w:rPr>
          <w:rFonts w:ascii="Times New Roman" w:hAnsi="Times New Roman" w:cs="Times New Roman"/>
        </w:rPr>
        <w:t xml:space="preserve"> th</w:t>
      </w:r>
      <w:r w:rsidR="00B22C2B">
        <w:rPr>
          <w:rFonts w:ascii="Times New Roman" w:hAnsi="Times New Roman" w:cs="Times New Roman"/>
        </w:rPr>
        <w:t>e</w:t>
      </w:r>
      <w:r w:rsidR="006E4607">
        <w:rPr>
          <w:rFonts w:ascii="Times New Roman" w:hAnsi="Times New Roman" w:cs="Times New Roman"/>
        </w:rPr>
        <w:t xml:space="preserve"> damage </w:t>
      </w:r>
      <w:r w:rsidR="00B22C2B">
        <w:rPr>
          <w:rFonts w:ascii="Times New Roman" w:hAnsi="Times New Roman" w:cs="Times New Roman"/>
        </w:rPr>
        <w:t>he suffered is</w:t>
      </w:r>
      <w:r w:rsidR="006E4607">
        <w:rPr>
          <w:rFonts w:ascii="Times New Roman" w:hAnsi="Times New Roman" w:cs="Times New Roman"/>
        </w:rPr>
        <w:t xml:space="preserve"> causally connected to the actions of the tortfeasor</w:t>
      </w:r>
      <w:r w:rsidR="00B22C2B">
        <w:rPr>
          <w:rFonts w:ascii="Times New Roman" w:hAnsi="Times New Roman" w:cs="Times New Roman"/>
        </w:rPr>
        <w:t>,</w:t>
      </w:r>
      <w:r w:rsidR="006E4607">
        <w:rPr>
          <w:rFonts w:ascii="Times New Roman" w:hAnsi="Times New Roman" w:cs="Times New Roman"/>
        </w:rPr>
        <w:t xml:space="preserve"> and </w:t>
      </w:r>
      <w:r w:rsidR="00B22C2B">
        <w:rPr>
          <w:rFonts w:ascii="Times New Roman" w:hAnsi="Times New Roman" w:cs="Times New Roman"/>
        </w:rPr>
        <w:t>that the</w:t>
      </w:r>
      <w:r w:rsidR="006E4607">
        <w:rPr>
          <w:rFonts w:ascii="Times New Roman" w:hAnsi="Times New Roman" w:cs="Times New Roman"/>
        </w:rPr>
        <w:t xml:space="preserve"> type of damage </w:t>
      </w:r>
      <w:r w:rsidR="00B22C2B">
        <w:rPr>
          <w:rFonts w:ascii="Times New Roman" w:hAnsi="Times New Roman" w:cs="Times New Roman"/>
        </w:rPr>
        <w:t>was</w:t>
      </w:r>
      <w:r w:rsidR="006E4607">
        <w:rPr>
          <w:rFonts w:ascii="Times New Roman" w:hAnsi="Times New Roman" w:cs="Times New Roman"/>
        </w:rPr>
        <w:t xml:space="preserve"> reasonably foreseeable.</w:t>
      </w:r>
      <w:r w:rsidR="00F247EA">
        <w:rPr>
          <w:rFonts w:ascii="Times New Roman" w:hAnsi="Times New Roman" w:cs="Times New Roman"/>
        </w:rPr>
        <w:t xml:space="preserve"> There is some similarity here with claims for negligence. In general terms, </w:t>
      </w:r>
      <w:r w:rsidR="000370BE">
        <w:rPr>
          <w:rFonts w:ascii="Times New Roman" w:hAnsi="Times New Roman" w:cs="Times New Roman"/>
        </w:rPr>
        <w:t>negligence</w:t>
      </w:r>
      <w:r w:rsidR="00F247EA">
        <w:rPr>
          <w:rFonts w:ascii="Times New Roman" w:hAnsi="Times New Roman" w:cs="Times New Roman"/>
        </w:rPr>
        <w:t xml:space="preserve"> can be </w:t>
      </w:r>
      <w:r w:rsidR="000370BE">
        <w:rPr>
          <w:rFonts w:ascii="Times New Roman" w:hAnsi="Times New Roman" w:cs="Times New Roman"/>
        </w:rPr>
        <w:t>claimed</w:t>
      </w:r>
      <w:r w:rsidR="00F247EA">
        <w:rPr>
          <w:rFonts w:ascii="Times New Roman" w:hAnsi="Times New Roman" w:cs="Times New Roman"/>
        </w:rPr>
        <w:t xml:space="preserve"> when an individual owes a duty of care to another and then breaches that duty, with the </w:t>
      </w:r>
      <w:r w:rsidR="00D325EF">
        <w:rPr>
          <w:rFonts w:ascii="Times New Roman" w:hAnsi="Times New Roman" w:cs="Times New Roman"/>
        </w:rPr>
        <w:t>result</w:t>
      </w:r>
      <w:r w:rsidR="00F247EA">
        <w:rPr>
          <w:rFonts w:ascii="Times New Roman" w:hAnsi="Times New Roman" w:cs="Times New Roman"/>
        </w:rPr>
        <w:t xml:space="preserve"> that the affected party suffers some form of loss as a consequence of the breach, provided that the damage was foreseeable.</w:t>
      </w:r>
      <w:r w:rsidR="004D37F3">
        <w:rPr>
          <w:rStyle w:val="FootnoteReference"/>
          <w:rFonts w:ascii="Times New Roman" w:hAnsi="Times New Roman" w:cs="Times New Roman"/>
        </w:rPr>
        <w:footnoteReference w:id="7"/>
      </w:r>
    </w:p>
    <w:p w14:paraId="1F627C46" w14:textId="21E6664A" w:rsidR="0006704C" w:rsidRDefault="0006704C" w:rsidP="00D04711">
      <w:pPr>
        <w:spacing w:line="360" w:lineRule="auto"/>
        <w:jc w:val="both"/>
        <w:rPr>
          <w:rFonts w:ascii="Times New Roman" w:hAnsi="Times New Roman" w:cs="Times New Roman"/>
        </w:rPr>
      </w:pPr>
    </w:p>
    <w:p w14:paraId="1935F4DD" w14:textId="784D5661" w:rsidR="00051664" w:rsidRDefault="00F247EA" w:rsidP="00D04711">
      <w:pPr>
        <w:spacing w:line="360" w:lineRule="auto"/>
        <w:jc w:val="both"/>
        <w:rPr>
          <w:rFonts w:ascii="Times New Roman" w:hAnsi="Times New Roman" w:cs="Times New Roman"/>
        </w:rPr>
      </w:pPr>
      <w:r>
        <w:rPr>
          <w:rFonts w:ascii="Times New Roman" w:hAnsi="Times New Roman" w:cs="Times New Roman"/>
        </w:rPr>
        <w:t xml:space="preserve">It is not inconceivable that public nuisance or negligence could </w:t>
      </w:r>
      <w:r w:rsidR="00141410">
        <w:rPr>
          <w:rFonts w:ascii="Times New Roman" w:hAnsi="Times New Roman" w:cs="Times New Roman"/>
        </w:rPr>
        <w:t>feature in future CCL</w:t>
      </w:r>
      <w:r>
        <w:rPr>
          <w:rFonts w:ascii="Times New Roman" w:hAnsi="Times New Roman" w:cs="Times New Roman"/>
        </w:rPr>
        <w:t xml:space="preserve">. </w:t>
      </w:r>
      <w:r w:rsidR="00181E52">
        <w:rPr>
          <w:rFonts w:ascii="Times New Roman" w:hAnsi="Times New Roman" w:cs="Times New Roman"/>
        </w:rPr>
        <w:t>F</w:t>
      </w:r>
      <w:r>
        <w:rPr>
          <w:rFonts w:ascii="Times New Roman" w:hAnsi="Times New Roman" w:cs="Times New Roman"/>
        </w:rPr>
        <w:t xml:space="preserve">or example, </w:t>
      </w:r>
      <w:r w:rsidR="00181E52">
        <w:rPr>
          <w:rFonts w:ascii="Times New Roman" w:hAnsi="Times New Roman" w:cs="Times New Roman"/>
        </w:rPr>
        <w:t xml:space="preserve">the former </w:t>
      </w:r>
      <w:r>
        <w:rPr>
          <w:rFonts w:ascii="Times New Roman" w:hAnsi="Times New Roman" w:cs="Times New Roman"/>
        </w:rPr>
        <w:t>has been identified as being of great utility in claims for environmental damage</w:t>
      </w:r>
      <w:r>
        <w:rPr>
          <w:rStyle w:val="FootnoteReference"/>
          <w:rFonts w:ascii="Times New Roman" w:hAnsi="Times New Roman" w:cs="Times New Roman"/>
        </w:rPr>
        <w:footnoteReference w:id="8"/>
      </w:r>
      <w:r>
        <w:rPr>
          <w:rFonts w:ascii="Times New Roman" w:hAnsi="Times New Roman" w:cs="Times New Roman"/>
        </w:rPr>
        <w:t>, as a highly flexible doctrine that obviates the need for a proprietary interest or duty of care for a claim to be brought.</w:t>
      </w:r>
      <w:r>
        <w:rPr>
          <w:rStyle w:val="FootnoteReference"/>
          <w:rFonts w:ascii="Times New Roman" w:hAnsi="Times New Roman" w:cs="Times New Roman"/>
        </w:rPr>
        <w:footnoteReference w:id="9"/>
      </w:r>
      <w:r>
        <w:rPr>
          <w:rFonts w:ascii="Times New Roman" w:hAnsi="Times New Roman" w:cs="Times New Roman"/>
        </w:rPr>
        <w:t xml:space="preserve"> Hypothetically, therefore, the doctrine may be of some </w:t>
      </w:r>
      <w:r w:rsidR="001D2BB0">
        <w:rPr>
          <w:rFonts w:ascii="Times New Roman" w:hAnsi="Times New Roman" w:cs="Times New Roman"/>
        </w:rPr>
        <w:t>help to</w:t>
      </w:r>
      <w:r>
        <w:rPr>
          <w:rFonts w:ascii="Times New Roman" w:hAnsi="Times New Roman" w:cs="Times New Roman"/>
        </w:rPr>
        <w:t xml:space="preserve"> claimants wishing to sue an emitter of voluminous amounts of greenhouse ga</w:t>
      </w:r>
      <w:r w:rsidR="00BC1F69">
        <w:rPr>
          <w:rFonts w:ascii="Times New Roman" w:hAnsi="Times New Roman" w:cs="Times New Roman"/>
        </w:rPr>
        <w:t>ses (GHG)</w:t>
      </w:r>
      <w:r w:rsidR="00662E7A">
        <w:rPr>
          <w:rFonts w:ascii="Times New Roman" w:hAnsi="Times New Roman" w:cs="Times New Roman"/>
        </w:rPr>
        <w:t xml:space="preserve">, or for </w:t>
      </w:r>
      <w:r w:rsidR="001D2BB0">
        <w:rPr>
          <w:rFonts w:ascii="Times New Roman" w:hAnsi="Times New Roman" w:cs="Times New Roman"/>
        </w:rPr>
        <w:t>a</w:t>
      </w:r>
      <w:r w:rsidR="00662E7A">
        <w:rPr>
          <w:rFonts w:ascii="Times New Roman" w:hAnsi="Times New Roman" w:cs="Times New Roman"/>
        </w:rPr>
        <w:t xml:space="preserve"> </w:t>
      </w:r>
      <w:r w:rsidR="001D2BB0">
        <w:rPr>
          <w:rFonts w:ascii="Times New Roman" w:hAnsi="Times New Roman" w:cs="Times New Roman"/>
        </w:rPr>
        <w:t>public</w:t>
      </w:r>
      <w:r w:rsidR="001952B8">
        <w:rPr>
          <w:rFonts w:ascii="Times New Roman" w:hAnsi="Times New Roman" w:cs="Times New Roman"/>
        </w:rPr>
        <w:t xml:space="preserve"> body</w:t>
      </w:r>
      <w:r w:rsidR="00662E7A">
        <w:rPr>
          <w:rFonts w:ascii="Times New Roman" w:hAnsi="Times New Roman" w:cs="Times New Roman"/>
        </w:rPr>
        <w:t xml:space="preserve"> to </w:t>
      </w:r>
      <w:r w:rsidR="00141410">
        <w:rPr>
          <w:rFonts w:ascii="Times New Roman" w:hAnsi="Times New Roman" w:cs="Times New Roman"/>
        </w:rPr>
        <w:t>bring a claim against</w:t>
      </w:r>
      <w:r w:rsidR="001952B8">
        <w:rPr>
          <w:rFonts w:ascii="Times New Roman" w:hAnsi="Times New Roman" w:cs="Times New Roman"/>
        </w:rPr>
        <w:t xml:space="preserve"> a heavy polluter along the lines of recent cases in America</w:t>
      </w:r>
      <w:r>
        <w:rPr>
          <w:rFonts w:ascii="Times New Roman" w:hAnsi="Times New Roman" w:cs="Times New Roman"/>
        </w:rPr>
        <w:t>.</w:t>
      </w:r>
      <w:r w:rsidR="001952B8">
        <w:rPr>
          <w:rStyle w:val="FootnoteReference"/>
          <w:rFonts w:ascii="Times New Roman" w:hAnsi="Times New Roman" w:cs="Times New Roman"/>
        </w:rPr>
        <w:footnoteReference w:id="10"/>
      </w:r>
      <w:r>
        <w:rPr>
          <w:rFonts w:ascii="Times New Roman" w:hAnsi="Times New Roman" w:cs="Times New Roman"/>
        </w:rPr>
        <w:t xml:space="preserve"> Granted, </w:t>
      </w:r>
      <w:r w:rsidR="002D2E62">
        <w:rPr>
          <w:rFonts w:ascii="Times New Roman" w:hAnsi="Times New Roman" w:cs="Times New Roman"/>
        </w:rPr>
        <w:t>e</w:t>
      </w:r>
      <w:r>
        <w:rPr>
          <w:rFonts w:ascii="Times New Roman" w:hAnsi="Times New Roman" w:cs="Times New Roman"/>
        </w:rPr>
        <w:t>stablished case law on public nuisance involves smells, noise, etc</w:t>
      </w:r>
      <w:r w:rsidR="00230A8D">
        <w:rPr>
          <w:rFonts w:ascii="Times New Roman" w:hAnsi="Times New Roman" w:cs="Times New Roman"/>
        </w:rPr>
        <w:t xml:space="preserve"> rather than climate change-related pollution,</w:t>
      </w:r>
      <w:r>
        <w:rPr>
          <w:rFonts w:ascii="Times New Roman" w:hAnsi="Times New Roman" w:cs="Times New Roman"/>
        </w:rPr>
        <w:t xml:space="preserve"> </w:t>
      </w:r>
      <w:r w:rsidR="001D2BB0">
        <w:rPr>
          <w:rFonts w:ascii="Times New Roman" w:hAnsi="Times New Roman" w:cs="Times New Roman"/>
        </w:rPr>
        <w:t>but</w:t>
      </w:r>
      <w:r>
        <w:rPr>
          <w:rFonts w:ascii="Times New Roman" w:hAnsi="Times New Roman" w:cs="Times New Roman"/>
        </w:rPr>
        <w:t xml:space="preserve"> this is more of a characteristic of previous claims than a bar to </w:t>
      </w:r>
      <w:r w:rsidR="00051664">
        <w:rPr>
          <w:rFonts w:ascii="Times New Roman" w:hAnsi="Times New Roman" w:cs="Times New Roman"/>
        </w:rPr>
        <w:t xml:space="preserve">new </w:t>
      </w:r>
      <w:r w:rsidR="001D2BB0">
        <w:rPr>
          <w:rFonts w:ascii="Times New Roman" w:hAnsi="Times New Roman" w:cs="Times New Roman"/>
        </w:rPr>
        <w:t>developments</w:t>
      </w:r>
      <w:r>
        <w:rPr>
          <w:rFonts w:ascii="Times New Roman" w:hAnsi="Times New Roman" w:cs="Times New Roman"/>
        </w:rPr>
        <w:t>.</w:t>
      </w:r>
      <w:r>
        <w:rPr>
          <w:rStyle w:val="FootnoteReference"/>
          <w:rFonts w:ascii="Times New Roman" w:hAnsi="Times New Roman" w:cs="Times New Roman"/>
        </w:rPr>
        <w:footnoteReference w:id="11"/>
      </w:r>
      <w:r w:rsidR="000F49BB">
        <w:rPr>
          <w:rFonts w:ascii="Times New Roman" w:hAnsi="Times New Roman" w:cs="Times New Roman"/>
        </w:rPr>
        <w:t xml:space="preserve"> </w:t>
      </w:r>
      <w:r w:rsidR="00086985">
        <w:rPr>
          <w:rFonts w:ascii="Times New Roman" w:hAnsi="Times New Roman" w:cs="Times New Roman"/>
        </w:rPr>
        <w:t>Indeed</w:t>
      </w:r>
      <w:r w:rsidR="00157862">
        <w:rPr>
          <w:rFonts w:ascii="Times New Roman" w:hAnsi="Times New Roman" w:cs="Times New Roman"/>
        </w:rPr>
        <w:t>, t</w:t>
      </w:r>
      <w:r w:rsidR="00051664">
        <w:rPr>
          <w:rFonts w:ascii="Times New Roman" w:hAnsi="Times New Roman" w:cs="Times New Roman"/>
        </w:rPr>
        <w:t>hat</w:t>
      </w:r>
      <w:r w:rsidR="00230A8D">
        <w:rPr>
          <w:rFonts w:ascii="Times New Roman" w:hAnsi="Times New Roman" w:cs="Times New Roman"/>
        </w:rPr>
        <w:t>, under a public nuisance claim,</w:t>
      </w:r>
      <w:r w:rsidR="00051664">
        <w:rPr>
          <w:rFonts w:ascii="Times New Roman" w:hAnsi="Times New Roman" w:cs="Times New Roman"/>
        </w:rPr>
        <w:t xml:space="preserve"> the claimant would need to show some special damage beyond that experienced by the general public may </w:t>
      </w:r>
      <w:r w:rsidR="001D2BB0">
        <w:rPr>
          <w:rFonts w:ascii="Times New Roman" w:hAnsi="Times New Roman" w:cs="Times New Roman"/>
        </w:rPr>
        <w:t xml:space="preserve">also </w:t>
      </w:r>
      <w:r w:rsidR="00051664">
        <w:rPr>
          <w:rFonts w:ascii="Times New Roman" w:hAnsi="Times New Roman" w:cs="Times New Roman"/>
        </w:rPr>
        <w:t xml:space="preserve">be of </w:t>
      </w:r>
      <w:r w:rsidR="001D2BB0">
        <w:rPr>
          <w:rFonts w:ascii="Times New Roman" w:hAnsi="Times New Roman" w:cs="Times New Roman"/>
        </w:rPr>
        <w:t>use in future CCL</w:t>
      </w:r>
      <w:r w:rsidR="00051664">
        <w:rPr>
          <w:rFonts w:ascii="Times New Roman" w:hAnsi="Times New Roman" w:cs="Times New Roman"/>
        </w:rPr>
        <w:t>, for it could nullify attempts by emitters like energy companies to claim that what they are doing is</w:t>
      </w:r>
      <w:r w:rsidR="00157862">
        <w:rPr>
          <w:rFonts w:ascii="Times New Roman" w:hAnsi="Times New Roman" w:cs="Times New Roman"/>
        </w:rPr>
        <w:t>, on balance,</w:t>
      </w:r>
      <w:r w:rsidR="00051664">
        <w:rPr>
          <w:rFonts w:ascii="Times New Roman" w:hAnsi="Times New Roman" w:cs="Times New Roman"/>
        </w:rPr>
        <w:t xml:space="preserve"> a public good.</w:t>
      </w:r>
      <w:r w:rsidR="00051664">
        <w:rPr>
          <w:rStyle w:val="FootnoteReference"/>
          <w:rFonts w:ascii="Times New Roman" w:hAnsi="Times New Roman" w:cs="Times New Roman"/>
        </w:rPr>
        <w:footnoteReference w:id="12"/>
      </w:r>
    </w:p>
    <w:p w14:paraId="6370E82E" w14:textId="77777777" w:rsidR="00051664" w:rsidRDefault="00051664" w:rsidP="00D04711">
      <w:pPr>
        <w:spacing w:line="360" w:lineRule="auto"/>
        <w:jc w:val="both"/>
        <w:rPr>
          <w:rFonts w:ascii="Times New Roman" w:hAnsi="Times New Roman" w:cs="Times New Roman"/>
        </w:rPr>
      </w:pPr>
    </w:p>
    <w:p w14:paraId="1A7A659D" w14:textId="45321578" w:rsidR="000370BE" w:rsidRDefault="000F49BB" w:rsidP="00D04711">
      <w:pPr>
        <w:spacing w:line="360" w:lineRule="auto"/>
        <w:jc w:val="both"/>
        <w:rPr>
          <w:rFonts w:ascii="Times New Roman" w:hAnsi="Times New Roman" w:cs="Times New Roman"/>
        </w:rPr>
      </w:pPr>
      <w:r>
        <w:rPr>
          <w:rFonts w:ascii="Times New Roman" w:hAnsi="Times New Roman" w:cs="Times New Roman"/>
        </w:rPr>
        <w:t xml:space="preserve">Within the context of CCL, </w:t>
      </w:r>
      <w:r w:rsidR="000567D2">
        <w:rPr>
          <w:rFonts w:ascii="Times New Roman" w:hAnsi="Times New Roman" w:cs="Times New Roman"/>
        </w:rPr>
        <w:t>greater</w:t>
      </w:r>
      <w:r>
        <w:rPr>
          <w:rFonts w:ascii="Times New Roman" w:hAnsi="Times New Roman" w:cs="Times New Roman"/>
        </w:rPr>
        <w:t xml:space="preserve"> attention has </w:t>
      </w:r>
      <w:r w:rsidR="000567D2">
        <w:rPr>
          <w:rFonts w:ascii="Times New Roman" w:hAnsi="Times New Roman" w:cs="Times New Roman"/>
        </w:rPr>
        <w:t>fallen</w:t>
      </w:r>
      <w:r>
        <w:rPr>
          <w:rFonts w:ascii="Times New Roman" w:hAnsi="Times New Roman" w:cs="Times New Roman"/>
        </w:rPr>
        <w:t xml:space="preserve"> on the potential of negligence.</w:t>
      </w:r>
      <w:r w:rsidR="006B4889">
        <w:rPr>
          <w:rFonts w:ascii="Times New Roman" w:hAnsi="Times New Roman" w:cs="Times New Roman"/>
        </w:rPr>
        <w:t xml:space="preserve"> After all</w:t>
      </w:r>
      <w:r w:rsidR="0006704C">
        <w:rPr>
          <w:rFonts w:ascii="Times New Roman" w:hAnsi="Times New Roman" w:cs="Times New Roman"/>
        </w:rPr>
        <w:t xml:space="preserve">, </w:t>
      </w:r>
      <w:r w:rsidR="00141410">
        <w:rPr>
          <w:rFonts w:ascii="Times New Roman" w:hAnsi="Times New Roman" w:cs="Times New Roman"/>
        </w:rPr>
        <w:t>its scope</w:t>
      </w:r>
      <w:r w:rsidR="0006704C">
        <w:rPr>
          <w:rFonts w:ascii="Times New Roman" w:hAnsi="Times New Roman" w:cs="Times New Roman"/>
        </w:rPr>
        <w:t xml:space="preserve"> is much broader than public nuisance, and could be stretched to incorporate not only </w:t>
      </w:r>
      <w:r w:rsidR="0006704C">
        <w:rPr>
          <w:rFonts w:ascii="Times New Roman" w:hAnsi="Times New Roman" w:cs="Times New Roman"/>
        </w:rPr>
        <w:lastRenderedPageBreak/>
        <w:t xml:space="preserve">those who emit </w:t>
      </w:r>
      <w:r w:rsidR="00BC1F69">
        <w:rPr>
          <w:rFonts w:ascii="Times New Roman" w:hAnsi="Times New Roman" w:cs="Times New Roman"/>
        </w:rPr>
        <w:t>GHG</w:t>
      </w:r>
      <w:r w:rsidR="0006704C">
        <w:rPr>
          <w:rFonts w:ascii="Times New Roman" w:hAnsi="Times New Roman" w:cs="Times New Roman"/>
        </w:rPr>
        <w:t xml:space="preserve"> from their land, but also those who produce and market fuel </w:t>
      </w:r>
      <w:r w:rsidR="00B81478">
        <w:rPr>
          <w:rFonts w:ascii="Times New Roman" w:hAnsi="Times New Roman" w:cs="Times New Roman"/>
        </w:rPr>
        <w:t>(</w:t>
      </w:r>
      <w:r w:rsidR="0006704C">
        <w:rPr>
          <w:rFonts w:ascii="Times New Roman" w:hAnsi="Times New Roman" w:cs="Times New Roman"/>
        </w:rPr>
        <w:t xml:space="preserve">which, when burned by others, releases </w:t>
      </w:r>
      <w:r w:rsidR="00BC1F69">
        <w:rPr>
          <w:rFonts w:ascii="Times New Roman" w:hAnsi="Times New Roman" w:cs="Times New Roman"/>
        </w:rPr>
        <w:t>GHG</w:t>
      </w:r>
      <w:r w:rsidR="0006704C">
        <w:rPr>
          <w:rFonts w:ascii="Times New Roman" w:hAnsi="Times New Roman" w:cs="Times New Roman"/>
        </w:rPr>
        <w:t xml:space="preserve"> into the atmosphere</w:t>
      </w:r>
      <w:r w:rsidR="00B81478">
        <w:rPr>
          <w:rFonts w:ascii="Times New Roman" w:hAnsi="Times New Roman" w:cs="Times New Roman"/>
        </w:rPr>
        <w:t>),</w:t>
      </w:r>
      <w:r w:rsidR="006B4889">
        <w:rPr>
          <w:rFonts w:ascii="Times New Roman" w:hAnsi="Times New Roman" w:cs="Times New Roman"/>
        </w:rPr>
        <w:t xml:space="preserve"> </w:t>
      </w:r>
      <w:r w:rsidR="00D325EF">
        <w:rPr>
          <w:rFonts w:ascii="Times New Roman" w:hAnsi="Times New Roman" w:cs="Times New Roman"/>
        </w:rPr>
        <w:t>plus</w:t>
      </w:r>
      <w:r w:rsidR="006B4889">
        <w:rPr>
          <w:rFonts w:ascii="Times New Roman" w:hAnsi="Times New Roman" w:cs="Times New Roman"/>
        </w:rPr>
        <w:t xml:space="preserve"> those who burn large amounts of fuels </w:t>
      </w:r>
      <w:r w:rsidR="00141410">
        <w:rPr>
          <w:rFonts w:ascii="Times New Roman" w:hAnsi="Times New Roman" w:cs="Times New Roman"/>
        </w:rPr>
        <w:t xml:space="preserve">like </w:t>
      </w:r>
      <w:r w:rsidR="006B4889">
        <w:rPr>
          <w:rFonts w:ascii="Times New Roman" w:hAnsi="Times New Roman" w:cs="Times New Roman"/>
        </w:rPr>
        <w:t>the airline industry</w:t>
      </w:r>
      <w:r w:rsidR="0006704C">
        <w:rPr>
          <w:rFonts w:ascii="Times New Roman" w:hAnsi="Times New Roman" w:cs="Times New Roman"/>
        </w:rPr>
        <w:t>.</w:t>
      </w:r>
      <w:r w:rsidR="0006704C">
        <w:rPr>
          <w:rStyle w:val="FootnoteReference"/>
          <w:rFonts w:ascii="Times New Roman" w:hAnsi="Times New Roman" w:cs="Times New Roman"/>
        </w:rPr>
        <w:footnoteReference w:id="13"/>
      </w:r>
      <w:r w:rsidR="000567D2">
        <w:rPr>
          <w:rFonts w:ascii="Times New Roman" w:hAnsi="Times New Roman" w:cs="Times New Roman"/>
        </w:rPr>
        <w:t xml:space="preserve"> </w:t>
      </w:r>
      <w:r w:rsidR="000370BE">
        <w:rPr>
          <w:rFonts w:ascii="Times New Roman" w:hAnsi="Times New Roman" w:cs="Times New Roman"/>
        </w:rPr>
        <w:t>Furthermore, the general trend of European courts has been to impose strict liability for environmental damage</w:t>
      </w:r>
      <w:r w:rsidR="000370BE">
        <w:rPr>
          <w:rStyle w:val="FootnoteReference"/>
          <w:rFonts w:ascii="Times New Roman" w:hAnsi="Times New Roman" w:cs="Times New Roman"/>
        </w:rPr>
        <w:footnoteReference w:id="14"/>
      </w:r>
      <w:r w:rsidR="000370BE">
        <w:rPr>
          <w:rFonts w:ascii="Times New Roman" w:hAnsi="Times New Roman" w:cs="Times New Roman"/>
        </w:rPr>
        <w:t xml:space="preserve">; </w:t>
      </w:r>
      <w:r w:rsidR="00181E52">
        <w:rPr>
          <w:rFonts w:ascii="Times New Roman" w:hAnsi="Times New Roman" w:cs="Times New Roman"/>
        </w:rPr>
        <w:t>and, as the effect of climate change become</w:t>
      </w:r>
      <w:r w:rsidR="00141410">
        <w:rPr>
          <w:rFonts w:ascii="Times New Roman" w:hAnsi="Times New Roman" w:cs="Times New Roman"/>
        </w:rPr>
        <w:t>s</w:t>
      </w:r>
      <w:r w:rsidR="00181E52">
        <w:rPr>
          <w:rFonts w:ascii="Times New Roman" w:hAnsi="Times New Roman" w:cs="Times New Roman"/>
        </w:rPr>
        <w:t xml:space="preserve"> more widespread,</w:t>
      </w:r>
      <w:r w:rsidR="000370BE">
        <w:rPr>
          <w:rFonts w:ascii="Times New Roman" w:hAnsi="Times New Roman" w:cs="Times New Roman"/>
        </w:rPr>
        <w:t xml:space="preserve"> UK courts may be willing to </w:t>
      </w:r>
      <w:r w:rsidR="00181E52">
        <w:rPr>
          <w:rFonts w:ascii="Times New Roman" w:hAnsi="Times New Roman" w:cs="Times New Roman"/>
        </w:rPr>
        <w:t xml:space="preserve">evolve the doctrine of negligence, to find, </w:t>
      </w:r>
      <w:r w:rsidR="00D36AE5">
        <w:rPr>
          <w:rFonts w:ascii="Times New Roman" w:hAnsi="Times New Roman" w:cs="Times New Roman"/>
        </w:rPr>
        <w:t>for example</w:t>
      </w:r>
      <w:r w:rsidR="00181E52">
        <w:rPr>
          <w:rFonts w:ascii="Times New Roman" w:hAnsi="Times New Roman" w:cs="Times New Roman"/>
        </w:rPr>
        <w:t>,</w:t>
      </w:r>
      <w:r w:rsidR="000370BE">
        <w:rPr>
          <w:rFonts w:ascii="Times New Roman" w:hAnsi="Times New Roman" w:cs="Times New Roman"/>
        </w:rPr>
        <w:t xml:space="preserve"> that an emitter of </w:t>
      </w:r>
      <w:r w:rsidR="00BC1F69">
        <w:rPr>
          <w:rFonts w:ascii="Times New Roman" w:hAnsi="Times New Roman" w:cs="Times New Roman"/>
        </w:rPr>
        <w:t>GHG</w:t>
      </w:r>
      <w:r w:rsidR="000370BE">
        <w:rPr>
          <w:rFonts w:ascii="Times New Roman" w:hAnsi="Times New Roman" w:cs="Times New Roman"/>
        </w:rPr>
        <w:t xml:space="preserve"> owes a duty of care</w:t>
      </w:r>
      <w:r w:rsidR="00D325EF">
        <w:rPr>
          <w:rFonts w:ascii="Times New Roman" w:hAnsi="Times New Roman" w:cs="Times New Roman"/>
        </w:rPr>
        <w:t xml:space="preserve"> to others</w:t>
      </w:r>
      <w:r w:rsidR="000370BE">
        <w:rPr>
          <w:rFonts w:ascii="Times New Roman" w:hAnsi="Times New Roman" w:cs="Times New Roman"/>
        </w:rPr>
        <w:t>.</w:t>
      </w:r>
      <w:r w:rsidR="000370BE">
        <w:rPr>
          <w:rStyle w:val="FootnoteReference"/>
          <w:rFonts w:ascii="Times New Roman" w:hAnsi="Times New Roman" w:cs="Times New Roman"/>
        </w:rPr>
        <w:footnoteReference w:id="15"/>
      </w:r>
      <w:r w:rsidR="00181E52">
        <w:rPr>
          <w:rFonts w:ascii="Times New Roman" w:hAnsi="Times New Roman" w:cs="Times New Roman"/>
        </w:rPr>
        <w:t xml:space="preserve"> Should </w:t>
      </w:r>
      <w:r w:rsidR="00AA54E7">
        <w:rPr>
          <w:rFonts w:ascii="Times New Roman" w:hAnsi="Times New Roman" w:cs="Times New Roman"/>
        </w:rPr>
        <w:t>such a duty be established</w:t>
      </w:r>
      <w:r w:rsidR="00181E52">
        <w:rPr>
          <w:rFonts w:ascii="Times New Roman" w:hAnsi="Times New Roman" w:cs="Times New Roman"/>
        </w:rPr>
        <w:t xml:space="preserve">, there would be considerable room for common law doctrine to be used to combat environmental damage resulting from climate change. </w:t>
      </w:r>
    </w:p>
    <w:p w14:paraId="15CA25F3" w14:textId="1715051F" w:rsidR="000A7EA9" w:rsidRDefault="000A7EA9" w:rsidP="00D04711">
      <w:pPr>
        <w:spacing w:line="360" w:lineRule="auto"/>
        <w:jc w:val="both"/>
        <w:rPr>
          <w:rFonts w:ascii="Times New Roman" w:hAnsi="Times New Roman" w:cs="Times New Roman"/>
        </w:rPr>
      </w:pPr>
    </w:p>
    <w:p w14:paraId="1C72295E" w14:textId="77777777" w:rsidR="004002A8" w:rsidRDefault="004002A8" w:rsidP="00D04711">
      <w:pPr>
        <w:spacing w:line="360" w:lineRule="auto"/>
        <w:jc w:val="both"/>
        <w:rPr>
          <w:rFonts w:ascii="Times New Roman" w:hAnsi="Times New Roman" w:cs="Times New Roman"/>
        </w:rPr>
      </w:pPr>
    </w:p>
    <w:p w14:paraId="47A0FD31" w14:textId="394D3EC0" w:rsidR="00181E52" w:rsidRDefault="00F15C90" w:rsidP="00D04711">
      <w:pPr>
        <w:spacing w:line="360" w:lineRule="auto"/>
        <w:jc w:val="both"/>
        <w:rPr>
          <w:rFonts w:ascii="Times New Roman" w:hAnsi="Times New Roman" w:cs="Times New Roman"/>
        </w:rPr>
      </w:pPr>
      <w:r w:rsidRPr="000A7EA9">
        <w:rPr>
          <w:rFonts w:ascii="Times New Roman" w:hAnsi="Times New Roman" w:cs="Times New Roman"/>
          <w:b/>
        </w:rPr>
        <w:t>Judicial Activism</w:t>
      </w:r>
      <w:r w:rsidR="000A7EA9">
        <w:rPr>
          <w:rFonts w:ascii="Times New Roman" w:hAnsi="Times New Roman" w:cs="Times New Roman"/>
        </w:rPr>
        <w:t>.</w:t>
      </w:r>
    </w:p>
    <w:p w14:paraId="447FCBAB" w14:textId="7F840575" w:rsidR="00A70E03" w:rsidRDefault="003C63AD" w:rsidP="00D04711">
      <w:pPr>
        <w:spacing w:line="360" w:lineRule="auto"/>
        <w:jc w:val="both"/>
        <w:rPr>
          <w:rFonts w:ascii="Times New Roman" w:hAnsi="Times New Roman" w:cs="Times New Roman"/>
        </w:rPr>
      </w:pPr>
      <w:r>
        <w:rPr>
          <w:rFonts w:ascii="Times New Roman" w:hAnsi="Times New Roman" w:cs="Times New Roman"/>
        </w:rPr>
        <w:t>Yet it is at this point that the arguments in favour of using common law to combat environmental damage need to be considered more fully</w:t>
      </w:r>
      <w:r w:rsidR="00527594">
        <w:rPr>
          <w:rFonts w:ascii="Times New Roman" w:hAnsi="Times New Roman" w:cs="Times New Roman"/>
        </w:rPr>
        <w:t xml:space="preserve">. It </w:t>
      </w:r>
      <w:r>
        <w:rPr>
          <w:rFonts w:ascii="Times New Roman" w:hAnsi="Times New Roman" w:cs="Times New Roman"/>
        </w:rPr>
        <w:t>is clear that there is potential utility for future claims for public nuisance and negligence, subject to future legal developments (</w:t>
      </w:r>
      <w:r w:rsidR="00726D45">
        <w:rPr>
          <w:rFonts w:ascii="Times New Roman" w:hAnsi="Times New Roman" w:cs="Times New Roman"/>
        </w:rPr>
        <w:t>e</w:t>
      </w:r>
      <w:r>
        <w:rPr>
          <w:rFonts w:ascii="Times New Roman" w:hAnsi="Times New Roman" w:cs="Times New Roman"/>
        </w:rPr>
        <w:t>.</w:t>
      </w:r>
      <w:r w:rsidR="00726D45">
        <w:rPr>
          <w:rFonts w:ascii="Times New Roman" w:hAnsi="Times New Roman" w:cs="Times New Roman"/>
        </w:rPr>
        <w:t>g</w:t>
      </w:r>
      <w:r>
        <w:rPr>
          <w:rFonts w:ascii="Times New Roman" w:hAnsi="Times New Roman" w:cs="Times New Roman"/>
        </w:rPr>
        <w:t>., the establishment of a new duty of care owed by polluters).</w:t>
      </w:r>
      <w:r w:rsidR="00A70E03">
        <w:rPr>
          <w:rFonts w:ascii="Times New Roman" w:hAnsi="Times New Roman" w:cs="Times New Roman"/>
        </w:rPr>
        <w:t xml:space="preserve"> But it must also be stressed that such developments are more hypothetical than tangible. Indeed, to go further and argue that there is real potential to combat environmental damage caused by climate change through common law doctrine is, I would </w:t>
      </w:r>
      <w:r w:rsidR="003F5DEA">
        <w:rPr>
          <w:rFonts w:ascii="Times New Roman" w:hAnsi="Times New Roman" w:cs="Times New Roman"/>
        </w:rPr>
        <w:t>suggest</w:t>
      </w:r>
      <w:r w:rsidR="00A70E03">
        <w:rPr>
          <w:rFonts w:ascii="Times New Roman" w:hAnsi="Times New Roman" w:cs="Times New Roman"/>
        </w:rPr>
        <w:t xml:space="preserve">, </w:t>
      </w:r>
      <w:r w:rsidR="00CF4C68">
        <w:rPr>
          <w:rFonts w:ascii="Times New Roman" w:hAnsi="Times New Roman" w:cs="Times New Roman"/>
        </w:rPr>
        <w:t xml:space="preserve">mistaken, being premised </w:t>
      </w:r>
      <w:r w:rsidR="00DF6FC4">
        <w:rPr>
          <w:rFonts w:ascii="Times New Roman" w:hAnsi="Times New Roman" w:cs="Times New Roman"/>
        </w:rPr>
        <w:t>on an unproven reliance on judicial activism to develop common law in such a way as to facilitate future CCL.</w:t>
      </w:r>
    </w:p>
    <w:p w14:paraId="43BEADE5" w14:textId="77777777" w:rsidR="00A70E03" w:rsidRDefault="00A70E03" w:rsidP="00D04711">
      <w:pPr>
        <w:spacing w:line="360" w:lineRule="auto"/>
        <w:jc w:val="both"/>
        <w:rPr>
          <w:rFonts w:ascii="Times New Roman" w:hAnsi="Times New Roman" w:cs="Times New Roman"/>
        </w:rPr>
      </w:pPr>
    </w:p>
    <w:p w14:paraId="7AEE6584" w14:textId="5911C5F0" w:rsidR="00D325EF" w:rsidRDefault="007B09E0" w:rsidP="00D04711">
      <w:pPr>
        <w:spacing w:line="360" w:lineRule="auto"/>
        <w:jc w:val="both"/>
        <w:rPr>
          <w:rFonts w:ascii="Times New Roman" w:hAnsi="Times New Roman" w:cs="Times New Roman"/>
        </w:rPr>
      </w:pPr>
      <w:r>
        <w:rPr>
          <w:rFonts w:ascii="Times New Roman" w:hAnsi="Times New Roman" w:cs="Times New Roman"/>
        </w:rPr>
        <w:t>For example</w:t>
      </w:r>
      <w:r w:rsidR="00802153">
        <w:rPr>
          <w:rFonts w:ascii="Times New Roman" w:hAnsi="Times New Roman" w:cs="Times New Roman"/>
        </w:rPr>
        <w:t>, a</w:t>
      </w:r>
      <w:r w:rsidR="000A7EA9">
        <w:rPr>
          <w:rFonts w:ascii="Times New Roman" w:hAnsi="Times New Roman" w:cs="Times New Roman"/>
        </w:rPr>
        <w:t>mongst those who have advocated the utility of common law in future CCL</w:t>
      </w:r>
      <w:r w:rsidR="000A7EA9">
        <w:rPr>
          <w:rStyle w:val="FootnoteReference"/>
          <w:rFonts w:ascii="Times New Roman" w:hAnsi="Times New Roman" w:cs="Times New Roman"/>
        </w:rPr>
        <w:footnoteReference w:id="16"/>
      </w:r>
      <w:r w:rsidR="000A7EA9">
        <w:rPr>
          <w:rFonts w:ascii="Times New Roman" w:hAnsi="Times New Roman" w:cs="Times New Roman"/>
        </w:rPr>
        <w:t xml:space="preserve">, plus those who have acknowledged </w:t>
      </w:r>
      <w:r w:rsidR="00527594">
        <w:rPr>
          <w:rFonts w:ascii="Times New Roman" w:hAnsi="Times New Roman" w:cs="Times New Roman"/>
        </w:rPr>
        <w:t>its potential</w:t>
      </w:r>
      <w:r w:rsidR="000A7EA9">
        <w:rPr>
          <w:rStyle w:val="FootnoteReference"/>
          <w:rFonts w:ascii="Times New Roman" w:hAnsi="Times New Roman" w:cs="Times New Roman"/>
        </w:rPr>
        <w:footnoteReference w:id="17"/>
      </w:r>
      <w:r w:rsidR="000A7EA9">
        <w:rPr>
          <w:rFonts w:ascii="Times New Roman" w:hAnsi="Times New Roman" w:cs="Times New Roman"/>
        </w:rPr>
        <w:t xml:space="preserve">, there is broad agreement that </w:t>
      </w:r>
      <w:r w:rsidR="00527594">
        <w:rPr>
          <w:rFonts w:ascii="Times New Roman" w:hAnsi="Times New Roman" w:cs="Times New Roman"/>
        </w:rPr>
        <w:t>legal doctrine</w:t>
      </w:r>
      <w:r w:rsidR="000A7EA9">
        <w:rPr>
          <w:rFonts w:ascii="Times New Roman" w:hAnsi="Times New Roman" w:cs="Times New Roman"/>
        </w:rPr>
        <w:t xml:space="preserve"> would evolve gradually, </w:t>
      </w:r>
      <w:r w:rsidR="00043F1B">
        <w:rPr>
          <w:rFonts w:ascii="Times New Roman" w:hAnsi="Times New Roman" w:cs="Times New Roman"/>
        </w:rPr>
        <w:t xml:space="preserve">that incremental judicial activism will grow in tandem with the threats of climate change. </w:t>
      </w:r>
      <w:r w:rsidR="00DF6FC4">
        <w:rPr>
          <w:rFonts w:ascii="Times New Roman" w:hAnsi="Times New Roman" w:cs="Times New Roman"/>
        </w:rPr>
        <w:t>Thus</w:t>
      </w:r>
      <w:r w:rsidR="00D57D32">
        <w:rPr>
          <w:rFonts w:ascii="Times New Roman" w:hAnsi="Times New Roman" w:cs="Times New Roman"/>
        </w:rPr>
        <w:t>, a</w:t>
      </w:r>
      <w:r w:rsidR="00043F1B">
        <w:rPr>
          <w:rFonts w:ascii="Times New Roman" w:hAnsi="Times New Roman" w:cs="Times New Roman"/>
        </w:rPr>
        <w:t>ccording to</w:t>
      </w:r>
      <w:r w:rsidR="003B37A3">
        <w:rPr>
          <w:rFonts w:ascii="Times New Roman" w:hAnsi="Times New Roman" w:cs="Times New Roman"/>
        </w:rPr>
        <w:t xml:space="preserve"> </w:t>
      </w:r>
      <w:r w:rsidR="00F67F8E">
        <w:rPr>
          <w:rFonts w:ascii="Times New Roman" w:hAnsi="Times New Roman" w:cs="Times New Roman"/>
        </w:rPr>
        <w:t xml:space="preserve">James Burton, Stephen </w:t>
      </w:r>
      <w:proofErr w:type="spellStart"/>
      <w:r w:rsidR="00F67F8E">
        <w:rPr>
          <w:rFonts w:ascii="Times New Roman" w:hAnsi="Times New Roman" w:cs="Times New Roman"/>
        </w:rPr>
        <w:t>Tromans</w:t>
      </w:r>
      <w:proofErr w:type="spellEnd"/>
      <w:r w:rsidR="00F67F8E">
        <w:rPr>
          <w:rFonts w:ascii="Times New Roman" w:hAnsi="Times New Roman" w:cs="Times New Roman"/>
        </w:rPr>
        <w:t xml:space="preserve"> QC and Martin Edwards, judicial attitudes against </w:t>
      </w:r>
      <w:r w:rsidR="00170EFD">
        <w:rPr>
          <w:rFonts w:ascii="Times New Roman" w:hAnsi="Times New Roman" w:cs="Times New Roman"/>
        </w:rPr>
        <w:t>producers</w:t>
      </w:r>
      <w:r w:rsidR="00F67F8E">
        <w:rPr>
          <w:rFonts w:ascii="Times New Roman" w:hAnsi="Times New Roman" w:cs="Times New Roman"/>
        </w:rPr>
        <w:t xml:space="preserve"> of </w:t>
      </w:r>
      <w:r w:rsidR="00BC1F69">
        <w:rPr>
          <w:rFonts w:ascii="Times New Roman" w:hAnsi="Times New Roman" w:cs="Times New Roman"/>
        </w:rPr>
        <w:t>GHG</w:t>
      </w:r>
      <w:r w:rsidR="00F67F8E">
        <w:rPr>
          <w:rFonts w:ascii="Times New Roman" w:hAnsi="Times New Roman" w:cs="Times New Roman"/>
        </w:rPr>
        <w:t xml:space="preserve"> will ‘gradually harden’ as </w:t>
      </w:r>
      <w:r w:rsidR="009955EE">
        <w:rPr>
          <w:rFonts w:ascii="Times New Roman" w:hAnsi="Times New Roman" w:cs="Times New Roman"/>
        </w:rPr>
        <w:t xml:space="preserve">the full effects of </w:t>
      </w:r>
      <w:r w:rsidR="00F67F8E">
        <w:rPr>
          <w:rFonts w:ascii="Times New Roman" w:hAnsi="Times New Roman" w:cs="Times New Roman"/>
        </w:rPr>
        <w:t xml:space="preserve">climate change </w:t>
      </w:r>
      <w:r w:rsidR="009955EE">
        <w:rPr>
          <w:rFonts w:ascii="Times New Roman" w:hAnsi="Times New Roman" w:cs="Times New Roman"/>
        </w:rPr>
        <w:t>become more apparent, in the same way that judges</w:t>
      </w:r>
      <w:r w:rsidR="00D325EF">
        <w:rPr>
          <w:rFonts w:ascii="Times New Roman" w:hAnsi="Times New Roman" w:cs="Times New Roman"/>
        </w:rPr>
        <w:t xml:space="preserve"> have grown more intolerant towards exposure to asbestos</w:t>
      </w:r>
      <w:r w:rsidR="009955EE">
        <w:rPr>
          <w:rFonts w:ascii="Times New Roman" w:hAnsi="Times New Roman" w:cs="Times New Roman"/>
        </w:rPr>
        <w:t>.</w:t>
      </w:r>
      <w:r w:rsidR="009955EE">
        <w:rPr>
          <w:rStyle w:val="FootnoteReference"/>
          <w:rFonts w:ascii="Times New Roman" w:hAnsi="Times New Roman" w:cs="Times New Roman"/>
        </w:rPr>
        <w:footnoteReference w:id="18"/>
      </w:r>
    </w:p>
    <w:p w14:paraId="340529BB" w14:textId="77777777" w:rsidR="00D325EF" w:rsidRDefault="00D325EF" w:rsidP="00D04711">
      <w:pPr>
        <w:spacing w:line="360" w:lineRule="auto"/>
        <w:jc w:val="both"/>
        <w:rPr>
          <w:rFonts w:ascii="Times New Roman" w:hAnsi="Times New Roman" w:cs="Times New Roman"/>
        </w:rPr>
      </w:pPr>
    </w:p>
    <w:p w14:paraId="43D32421" w14:textId="585AFDFB" w:rsidR="004C477D" w:rsidRDefault="008E1CD7" w:rsidP="00D04711">
      <w:pPr>
        <w:spacing w:line="360" w:lineRule="auto"/>
        <w:jc w:val="both"/>
        <w:rPr>
          <w:rFonts w:ascii="Times New Roman" w:hAnsi="Times New Roman" w:cs="Times New Roman"/>
        </w:rPr>
      </w:pPr>
      <w:r>
        <w:rPr>
          <w:rFonts w:ascii="Times New Roman" w:hAnsi="Times New Roman" w:cs="Times New Roman"/>
        </w:rPr>
        <w:lastRenderedPageBreak/>
        <w:t xml:space="preserve">Yet </w:t>
      </w:r>
      <w:r w:rsidR="004C278A">
        <w:rPr>
          <w:rFonts w:ascii="Times New Roman" w:hAnsi="Times New Roman" w:cs="Times New Roman"/>
        </w:rPr>
        <w:t>judicial willingness</w:t>
      </w:r>
      <w:r w:rsidR="00D57D32">
        <w:rPr>
          <w:rFonts w:ascii="Times New Roman" w:hAnsi="Times New Roman" w:cs="Times New Roman"/>
        </w:rPr>
        <w:t xml:space="preserve"> to develop the common law</w:t>
      </w:r>
      <w:r>
        <w:rPr>
          <w:rFonts w:ascii="Times New Roman" w:hAnsi="Times New Roman" w:cs="Times New Roman"/>
        </w:rPr>
        <w:t xml:space="preserve"> is too often assumed rather than proven.</w:t>
      </w:r>
      <w:r>
        <w:rPr>
          <w:rStyle w:val="FootnoteReference"/>
          <w:rFonts w:ascii="Times New Roman" w:hAnsi="Times New Roman" w:cs="Times New Roman"/>
        </w:rPr>
        <w:footnoteReference w:id="19"/>
      </w:r>
      <w:r w:rsidR="00972A1E">
        <w:rPr>
          <w:rFonts w:ascii="Times New Roman" w:hAnsi="Times New Roman" w:cs="Times New Roman"/>
        </w:rPr>
        <w:t xml:space="preserve"> </w:t>
      </w:r>
      <w:r w:rsidR="00D325EF">
        <w:rPr>
          <w:rFonts w:ascii="Times New Roman" w:hAnsi="Times New Roman" w:cs="Times New Roman"/>
        </w:rPr>
        <w:t>It cannot</w:t>
      </w:r>
      <w:r w:rsidR="00577F1A">
        <w:rPr>
          <w:rFonts w:ascii="Times New Roman" w:hAnsi="Times New Roman" w:cs="Times New Roman"/>
        </w:rPr>
        <w:t xml:space="preserve"> be argued that the judiciary will be more willing to impose a common law duty of care on </w:t>
      </w:r>
      <w:r w:rsidR="00BC1F69">
        <w:rPr>
          <w:rFonts w:ascii="Times New Roman" w:hAnsi="Times New Roman" w:cs="Times New Roman"/>
        </w:rPr>
        <w:t>GHG</w:t>
      </w:r>
      <w:r w:rsidR="00577F1A">
        <w:rPr>
          <w:rFonts w:ascii="Times New Roman" w:hAnsi="Times New Roman" w:cs="Times New Roman"/>
        </w:rPr>
        <w:t xml:space="preserve"> emitters</w:t>
      </w:r>
      <w:r w:rsidR="004C477D">
        <w:rPr>
          <w:rFonts w:ascii="Times New Roman" w:hAnsi="Times New Roman" w:cs="Times New Roman"/>
        </w:rPr>
        <w:t xml:space="preserve"> simply because legislative trends have moved in favour of greater regulation: the growth of statute may instead allow courts to absolve themselves from </w:t>
      </w:r>
      <w:r w:rsidR="00404ACF">
        <w:rPr>
          <w:rFonts w:ascii="Times New Roman" w:hAnsi="Times New Roman" w:cs="Times New Roman"/>
        </w:rPr>
        <w:t>developing common law</w:t>
      </w:r>
      <w:r w:rsidR="004C477D">
        <w:rPr>
          <w:rFonts w:ascii="Times New Roman" w:hAnsi="Times New Roman" w:cs="Times New Roman"/>
        </w:rPr>
        <w:t xml:space="preserve"> </w:t>
      </w:r>
      <w:r w:rsidR="00404ACF">
        <w:rPr>
          <w:rFonts w:ascii="Times New Roman" w:hAnsi="Times New Roman" w:cs="Times New Roman"/>
        </w:rPr>
        <w:t>on the grounds</w:t>
      </w:r>
      <w:r w:rsidR="004C477D">
        <w:rPr>
          <w:rFonts w:ascii="Times New Roman" w:hAnsi="Times New Roman" w:cs="Times New Roman"/>
        </w:rPr>
        <w:t xml:space="preserve"> of </w:t>
      </w:r>
      <w:r w:rsidR="00404ACF">
        <w:rPr>
          <w:rFonts w:ascii="Times New Roman" w:hAnsi="Times New Roman" w:cs="Times New Roman"/>
        </w:rPr>
        <w:t>not wishing to step on Parliament’s toes or impose further restrictions on</w:t>
      </w:r>
      <w:r w:rsidR="00B81478">
        <w:rPr>
          <w:rFonts w:ascii="Times New Roman" w:hAnsi="Times New Roman" w:cs="Times New Roman"/>
        </w:rPr>
        <w:t xml:space="preserve"> what</w:t>
      </w:r>
      <w:r w:rsidR="00404ACF">
        <w:rPr>
          <w:rFonts w:ascii="Times New Roman" w:hAnsi="Times New Roman" w:cs="Times New Roman"/>
        </w:rPr>
        <w:t xml:space="preserve"> has already been legislated upon</w:t>
      </w:r>
      <w:r w:rsidR="00B81478">
        <w:rPr>
          <w:rFonts w:ascii="Times New Roman" w:hAnsi="Times New Roman" w:cs="Times New Roman"/>
        </w:rPr>
        <w:t xml:space="preserve"> (e.g., GHG emissions)</w:t>
      </w:r>
      <w:r w:rsidR="004C477D">
        <w:rPr>
          <w:rFonts w:ascii="Times New Roman" w:hAnsi="Times New Roman" w:cs="Times New Roman"/>
        </w:rPr>
        <w:t>.</w:t>
      </w:r>
      <w:r w:rsidR="004C477D">
        <w:rPr>
          <w:rStyle w:val="FootnoteReference"/>
          <w:rFonts w:ascii="Times New Roman" w:hAnsi="Times New Roman" w:cs="Times New Roman"/>
        </w:rPr>
        <w:footnoteReference w:id="20"/>
      </w:r>
    </w:p>
    <w:p w14:paraId="3F401940" w14:textId="2690A6DD" w:rsidR="00577F1A" w:rsidRDefault="00577F1A" w:rsidP="00D04711">
      <w:pPr>
        <w:spacing w:line="360" w:lineRule="auto"/>
        <w:jc w:val="both"/>
        <w:rPr>
          <w:rFonts w:ascii="Times New Roman" w:hAnsi="Times New Roman" w:cs="Times New Roman"/>
        </w:rPr>
      </w:pPr>
    </w:p>
    <w:p w14:paraId="6F371E06" w14:textId="0818CE55" w:rsidR="00F863A2" w:rsidRDefault="00404ACF" w:rsidP="00D04711">
      <w:pPr>
        <w:spacing w:line="360" w:lineRule="auto"/>
        <w:jc w:val="both"/>
        <w:rPr>
          <w:rFonts w:ascii="Times New Roman" w:hAnsi="Times New Roman" w:cs="Times New Roman"/>
        </w:rPr>
      </w:pPr>
      <w:r>
        <w:rPr>
          <w:rFonts w:ascii="Times New Roman" w:hAnsi="Times New Roman" w:cs="Times New Roman"/>
        </w:rPr>
        <w:t xml:space="preserve">Moreover, it is not axiomatic that the more radical the effects of climate change, the more likely the judiciary is to develop common law. The </w:t>
      </w:r>
      <w:r w:rsidR="00AA18C5">
        <w:rPr>
          <w:rFonts w:ascii="Times New Roman" w:hAnsi="Times New Roman" w:cs="Times New Roman"/>
        </w:rPr>
        <w:t>decision</w:t>
      </w:r>
      <w:r>
        <w:rPr>
          <w:rFonts w:ascii="Times New Roman" w:hAnsi="Times New Roman" w:cs="Times New Roman"/>
        </w:rPr>
        <w:t xml:space="preserve"> of the House of Lords in </w:t>
      </w:r>
      <w:r w:rsidR="00CB2D54" w:rsidRPr="00CB2D54">
        <w:rPr>
          <w:rFonts w:ascii="Times New Roman" w:hAnsi="Times New Roman" w:cs="Times New Roman"/>
          <w:i/>
        </w:rPr>
        <w:t>Cambridge Water Co Ltd v Eastern Counties Leather Plc</w:t>
      </w:r>
      <w:r w:rsidR="00AA18C5" w:rsidRPr="00AA18C5">
        <w:rPr>
          <w:rStyle w:val="FootnoteReference"/>
          <w:rFonts w:ascii="Times New Roman" w:hAnsi="Times New Roman" w:cs="Times New Roman"/>
        </w:rPr>
        <w:footnoteReference w:id="21"/>
      </w:r>
      <w:r w:rsidRPr="00AA18C5">
        <w:rPr>
          <w:rFonts w:ascii="Times New Roman" w:hAnsi="Times New Roman" w:cs="Times New Roman"/>
        </w:rPr>
        <w:t xml:space="preserve"> </w:t>
      </w:r>
      <w:r>
        <w:rPr>
          <w:rFonts w:ascii="Times New Roman" w:hAnsi="Times New Roman" w:cs="Times New Roman"/>
        </w:rPr>
        <w:t>is instructive in this respect</w:t>
      </w:r>
      <w:r w:rsidR="00AA18C5">
        <w:rPr>
          <w:rFonts w:ascii="Times New Roman" w:hAnsi="Times New Roman" w:cs="Times New Roman"/>
        </w:rPr>
        <w:t>. Here, Lord Goff, delivering the majority opinion,</w:t>
      </w:r>
      <w:r w:rsidR="00F863A2">
        <w:rPr>
          <w:rFonts w:ascii="Times New Roman" w:hAnsi="Times New Roman" w:cs="Times New Roman"/>
        </w:rPr>
        <w:t xml:space="preserve"> found that strict liability in actions for nuisance was a matter for Parliament to decide. Indeed, Lord Goff held that it was inappropriate for the common law to be developed in such a way as to impose strict liability in actions for nuisance</w:t>
      </w:r>
      <w:r w:rsidR="00B81A4E">
        <w:rPr>
          <w:rFonts w:ascii="Times New Roman" w:hAnsi="Times New Roman" w:cs="Times New Roman"/>
        </w:rPr>
        <w:t>, notwithstanding new initiatives to protect the environment</w:t>
      </w:r>
      <w:r w:rsidR="00F863A2">
        <w:rPr>
          <w:rFonts w:ascii="Times New Roman" w:hAnsi="Times New Roman" w:cs="Times New Roman"/>
        </w:rPr>
        <w:t>:</w:t>
      </w:r>
    </w:p>
    <w:p w14:paraId="03872B27" w14:textId="2EEA8E21" w:rsidR="00F863A2" w:rsidRPr="00F863A2" w:rsidRDefault="00F863A2" w:rsidP="00D04711">
      <w:pPr>
        <w:ind w:left="720"/>
        <w:jc w:val="both"/>
        <w:rPr>
          <w:rFonts w:ascii="Times New Roman" w:hAnsi="Times New Roman" w:cs="Times New Roman"/>
        </w:rPr>
      </w:pPr>
      <w:r w:rsidRPr="00F863A2">
        <w:rPr>
          <w:rFonts w:ascii="Times New Roman" w:hAnsi="Times New Roman" w:cs="Times New Roman"/>
          <w:i/>
        </w:rPr>
        <w:t xml:space="preserve">…given that so much well-informed and carefully structured legislation is now being put in place for </w:t>
      </w:r>
      <w:r w:rsidR="00B81A4E">
        <w:rPr>
          <w:rFonts w:ascii="Times New Roman" w:hAnsi="Times New Roman" w:cs="Times New Roman"/>
          <w:i/>
        </w:rPr>
        <w:t>[the purpose of combating pollution]</w:t>
      </w:r>
      <w:r w:rsidRPr="00F863A2">
        <w:rPr>
          <w:rFonts w:ascii="Times New Roman" w:hAnsi="Times New Roman" w:cs="Times New Roman"/>
          <w:i/>
        </w:rPr>
        <w:t>, there is less need for the courts to develop a common law principle to achieve the same end</w:t>
      </w:r>
      <w:r w:rsidR="002E4990">
        <w:rPr>
          <w:rFonts w:ascii="Times New Roman" w:hAnsi="Times New Roman" w:cs="Times New Roman"/>
          <w:i/>
        </w:rPr>
        <w:t xml:space="preserve"> […] </w:t>
      </w:r>
      <w:r w:rsidRPr="00F863A2">
        <w:rPr>
          <w:rFonts w:ascii="Times New Roman" w:hAnsi="Times New Roman" w:cs="Times New Roman"/>
          <w:i/>
        </w:rPr>
        <w:t>indeed it may well be undesirable that they should do so.</w:t>
      </w:r>
      <w:r>
        <w:rPr>
          <w:rStyle w:val="FootnoteReference"/>
          <w:rFonts w:ascii="Times New Roman" w:hAnsi="Times New Roman" w:cs="Times New Roman"/>
          <w:i/>
        </w:rPr>
        <w:footnoteReference w:id="22"/>
      </w:r>
    </w:p>
    <w:p w14:paraId="3CA3A927" w14:textId="02539E6E" w:rsidR="00DF6FC4" w:rsidRDefault="007B36E3" w:rsidP="00D04711">
      <w:pPr>
        <w:spacing w:line="360" w:lineRule="auto"/>
        <w:jc w:val="both"/>
        <w:rPr>
          <w:rFonts w:ascii="Times New Roman" w:hAnsi="Times New Roman" w:cs="Times New Roman"/>
        </w:rPr>
      </w:pPr>
      <w:r>
        <w:rPr>
          <w:rFonts w:ascii="Times New Roman" w:hAnsi="Times New Roman" w:cs="Times New Roman"/>
        </w:rPr>
        <w:t>I</w:t>
      </w:r>
      <w:r w:rsidR="00B81A4E">
        <w:rPr>
          <w:rFonts w:ascii="Times New Roman" w:hAnsi="Times New Roman" w:cs="Times New Roman"/>
        </w:rPr>
        <w:t xml:space="preserve">t is </w:t>
      </w:r>
      <w:r>
        <w:rPr>
          <w:rFonts w:ascii="Times New Roman" w:hAnsi="Times New Roman" w:cs="Times New Roman"/>
        </w:rPr>
        <w:t xml:space="preserve">therefore </w:t>
      </w:r>
      <w:r w:rsidR="00B81A4E">
        <w:rPr>
          <w:rFonts w:ascii="Times New Roman" w:hAnsi="Times New Roman" w:cs="Times New Roman"/>
        </w:rPr>
        <w:t>inappropriate to rely upon judicial activism to develop common law in a way that facilitates CCL.</w:t>
      </w:r>
      <w:r w:rsidR="00DF6FC4">
        <w:rPr>
          <w:rFonts w:ascii="Times New Roman" w:hAnsi="Times New Roman" w:cs="Times New Roman"/>
        </w:rPr>
        <w:t xml:space="preserve"> </w:t>
      </w:r>
      <w:r>
        <w:rPr>
          <w:rFonts w:ascii="Times New Roman" w:hAnsi="Times New Roman" w:cs="Times New Roman"/>
        </w:rPr>
        <w:t>Indeed,</w:t>
      </w:r>
      <w:r w:rsidR="00DF6FC4">
        <w:rPr>
          <w:rFonts w:ascii="Times New Roman" w:hAnsi="Times New Roman" w:cs="Times New Roman"/>
        </w:rPr>
        <w:t xml:space="preserve"> the arguments in favour of there being real potential to combat, through common law doctrine, environmental damage caused by climate change appears rather tenuous</w:t>
      </w:r>
      <w:r>
        <w:rPr>
          <w:rFonts w:ascii="Times New Roman" w:hAnsi="Times New Roman" w:cs="Times New Roman"/>
        </w:rPr>
        <w:t xml:space="preserve"> once judicial activism is disregarded.</w:t>
      </w:r>
    </w:p>
    <w:p w14:paraId="7BC97F64" w14:textId="7C291377" w:rsidR="00D04711" w:rsidRDefault="00D04711" w:rsidP="00D04711">
      <w:pPr>
        <w:spacing w:line="360" w:lineRule="auto"/>
        <w:jc w:val="both"/>
        <w:rPr>
          <w:rFonts w:ascii="Times New Roman" w:hAnsi="Times New Roman" w:cs="Times New Roman"/>
        </w:rPr>
      </w:pPr>
    </w:p>
    <w:p w14:paraId="4EDCAB0D" w14:textId="77777777" w:rsidR="00D04711" w:rsidRDefault="00D04711" w:rsidP="00D04711">
      <w:pPr>
        <w:spacing w:line="360" w:lineRule="auto"/>
        <w:jc w:val="both"/>
        <w:rPr>
          <w:rFonts w:ascii="Times New Roman" w:hAnsi="Times New Roman" w:cs="Times New Roman"/>
        </w:rPr>
      </w:pPr>
    </w:p>
    <w:p w14:paraId="4470F477" w14:textId="3BF63016" w:rsidR="00E414DE" w:rsidRDefault="00F36261" w:rsidP="00D04711">
      <w:pPr>
        <w:spacing w:line="360" w:lineRule="auto"/>
        <w:jc w:val="both"/>
        <w:rPr>
          <w:rFonts w:ascii="Times New Roman" w:hAnsi="Times New Roman" w:cs="Times New Roman"/>
        </w:rPr>
      </w:pPr>
      <w:r w:rsidRPr="00F36261">
        <w:rPr>
          <w:rFonts w:ascii="Times New Roman" w:hAnsi="Times New Roman" w:cs="Times New Roman"/>
          <w:b/>
        </w:rPr>
        <w:t>Causation</w:t>
      </w:r>
      <w:r>
        <w:rPr>
          <w:rFonts w:ascii="Times New Roman" w:hAnsi="Times New Roman" w:cs="Times New Roman"/>
        </w:rPr>
        <w:t>.</w:t>
      </w:r>
    </w:p>
    <w:p w14:paraId="5971ADAF" w14:textId="6296E9E9" w:rsidR="00597AF4" w:rsidRDefault="00527594" w:rsidP="00D04711">
      <w:pPr>
        <w:spacing w:line="360" w:lineRule="auto"/>
        <w:jc w:val="both"/>
        <w:rPr>
          <w:rFonts w:ascii="Times New Roman" w:hAnsi="Times New Roman" w:cs="Times New Roman"/>
        </w:rPr>
      </w:pPr>
      <w:r>
        <w:rPr>
          <w:rFonts w:ascii="Times New Roman" w:hAnsi="Times New Roman" w:cs="Times New Roman"/>
        </w:rPr>
        <w:t xml:space="preserve">This pivots to </w:t>
      </w:r>
      <w:r w:rsidR="00597AF4">
        <w:rPr>
          <w:rFonts w:ascii="Times New Roman" w:hAnsi="Times New Roman" w:cs="Times New Roman"/>
        </w:rPr>
        <w:t xml:space="preserve">the second reason why there </w:t>
      </w:r>
      <w:proofErr w:type="gramStart"/>
      <w:r w:rsidR="00597AF4">
        <w:rPr>
          <w:rFonts w:ascii="Times New Roman" w:hAnsi="Times New Roman" w:cs="Times New Roman"/>
        </w:rPr>
        <w:t>is</w:t>
      </w:r>
      <w:proofErr w:type="gramEnd"/>
      <w:r w:rsidR="00597AF4">
        <w:rPr>
          <w:rFonts w:ascii="Times New Roman" w:hAnsi="Times New Roman" w:cs="Times New Roman"/>
        </w:rPr>
        <w:t xml:space="preserve"> limited room to apply common law </w:t>
      </w:r>
      <w:r w:rsidR="001C67FB">
        <w:rPr>
          <w:rFonts w:ascii="Times New Roman" w:hAnsi="Times New Roman" w:cs="Times New Roman"/>
        </w:rPr>
        <w:t>in future CCL</w:t>
      </w:r>
      <w:r w:rsidR="00597AF4">
        <w:rPr>
          <w:rFonts w:ascii="Times New Roman" w:hAnsi="Times New Roman" w:cs="Times New Roman"/>
        </w:rPr>
        <w:t xml:space="preserve"> –</w:t>
      </w:r>
      <w:r w:rsidR="00C61527">
        <w:rPr>
          <w:rFonts w:ascii="Times New Roman" w:hAnsi="Times New Roman" w:cs="Times New Roman"/>
        </w:rPr>
        <w:t xml:space="preserve"> put simply,</w:t>
      </w:r>
      <w:r w:rsidR="00597AF4">
        <w:rPr>
          <w:rFonts w:ascii="Times New Roman" w:hAnsi="Times New Roman" w:cs="Times New Roman"/>
        </w:rPr>
        <w:t xml:space="preserve"> </w:t>
      </w:r>
      <w:r w:rsidR="001C67FB">
        <w:rPr>
          <w:rFonts w:ascii="Times New Roman" w:hAnsi="Times New Roman" w:cs="Times New Roman"/>
        </w:rPr>
        <w:t xml:space="preserve">because </w:t>
      </w:r>
      <w:r w:rsidR="00597AF4">
        <w:rPr>
          <w:rFonts w:ascii="Times New Roman" w:hAnsi="Times New Roman" w:cs="Times New Roman"/>
        </w:rPr>
        <w:t xml:space="preserve">legal notions of causation </w:t>
      </w:r>
      <w:r w:rsidR="001C67FB">
        <w:rPr>
          <w:rFonts w:ascii="Times New Roman" w:hAnsi="Times New Roman" w:cs="Times New Roman"/>
        </w:rPr>
        <w:t xml:space="preserve">will </w:t>
      </w:r>
      <w:r w:rsidR="00161A0E">
        <w:rPr>
          <w:rFonts w:ascii="Times New Roman" w:hAnsi="Times New Roman" w:cs="Times New Roman"/>
        </w:rPr>
        <w:t>inhibit</w:t>
      </w:r>
      <w:r w:rsidR="001C67FB">
        <w:rPr>
          <w:rFonts w:ascii="Times New Roman" w:hAnsi="Times New Roman" w:cs="Times New Roman"/>
        </w:rPr>
        <w:t xml:space="preserve"> attempts to find a defendant liable for damage caused by climate change. </w:t>
      </w:r>
      <w:r w:rsidR="00597AF4">
        <w:rPr>
          <w:rFonts w:ascii="Times New Roman" w:hAnsi="Times New Roman" w:cs="Times New Roman"/>
        </w:rPr>
        <w:t xml:space="preserve">Indeed, even those who advocate for the potential of common law </w:t>
      </w:r>
      <w:r w:rsidR="00935978">
        <w:rPr>
          <w:rFonts w:ascii="Times New Roman" w:hAnsi="Times New Roman" w:cs="Times New Roman"/>
        </w:rPr>
        <w:t xml:space="preserve">agree that the ‘but for’ test will only </w:t>
      </w:r>
      <w:r w:rsidR="00161A0E">
        <w:rPr>
          <w:rFonts w:ascii="Times New Roman" w:hAnsi="Times New Roman" w:cs="Times New Roman"/>
        </w:rPr>
        <w:t>frustrate</w:t>
      </w:r>
      <w:r w:rsidR="00935978">
        <w:rPr>
          <w:rFonts w:ascii="Times New Roman" w:hAnsi="Times New Roman" w:cs="Times New Roman"/>
        </w:rPr>
        <w:t xml:space="preserve"> efforts to prove causal links between the actions of a</w:t>
      </w:r>
      <w:r w:rsidR="000C3DDA">
        <w:rPr>
          <w:rFonts w:ascii="Times New Roman" w:hAnsi="Times New Roman" w:cs="Times New Roman"/>
        </w:rPr>
        <w:t xml:space="preserve"> British-based</w:t>
      </w:r>
      <w:r w:rsidR="00935978">
        <w:rPr>
          <w:rFonts w:ascii="Times New Roman" w:hAnsi="Times New Roman" w:cs="Times New Roman"/>
        </w:rPr>
        <w:t xml:space="preserve"> </w:t>
      </w:r>
      <w:r w:rsidR="001C67FB">
        <w:rPr>
          <w:rFonts w:ascii="Times New Roman" w:hAnsi="Times New Roman" w:cs="Times New Roman"/>
        </w:rPr>
        <w:t>GHG-</w:t>
      </w:r>
      <w:r w:rsidR="00935978">
        <w:rPr>
          <w:rFonts w:ascii="Times New Roman" w:hAnsi="Times New Roman" w:cs="Times New Roman"/>
        </w:rPr>
        <w:t xml:space="preserve">emitter and the effects of that emission in specific </w:t>
      </w:r>
      <w:r w:rsidR="00935978">
        <w:rPr>
          <w:rFonts w:ascii="Times New Roman" w:hAnsi="Times New Roman" w:cs="Times New Roman"/>
        </w:rPr>
        <w:lastRenderedPageBreak/>
        <w:t>regions</w:t>
      </w:r>
      <w:r w:rsidR="00C61527">
        <w:rPr>
          <w:rFonts w:ascii="Times New Roman" w:hAnsi="Times New Roman" w:cs="Times New Roman"/>
        </w:rPr>
        <w:t>.</w:t>
      </w:r>
      <w:r w:rsidR="000C3DDA">
        <w:rPr>
          <w:rStyle w:val="FootnoteReference"/>
          <w:rFonts w:ascii="Times New Roman" w:hAnsi="Times New Roman" w:cs="Times New Roman"/>
        </w:rPr>
        <w:footnoteReference w:id="23"/>
      </w:r>
      <w:r w:rsidR="000C3DDA">
        <w:rPr>
          <w:rFonts w:ascii="Times New Roman" w:hAnsi="Times New Roman" w:cs="Times New Roman"/>
        </w:rPr>
        <w:t xml:space="preserve"> Defendants will rightly argue that their emissions cannot be separated from </w:t>
      </w:r>
      <w:r w:rsidR="004D28A9">
        <w:rPr>
          <w:rFonts w:ascii="Times New Roman" w:hAnsi="Times New Roman" w:cs="Times New Roman"/>
        </w:rPr>
        <w:t xml:space="preserve">the </w:t>
      </w:r>
      <w:r w:rsidR="00BC1F69">
        <w:rPr>
          <w:rFonts w:ascii="Times New Roman" w:hAnsi="Times New Roman" w:cs="Times New Roman"/>
        </w:rPr>
        <w:t>GHG</w:t>
      </w:r>
      <w:r w:rsidR="004D28A9">
        <w:rPr>
          <w:rFonts w:ascii="Times New Roman" w:hAnsi="Times New Roman" w:cs="Times New Roman"/>
        </w:rPr>
        <w:t xml:space="preserve"> that are spread by various industries around the world.</w:t>
      </w:r>
      <w:r w:rsidR="004D28A9">
        <w:rPr>
          <w:rStyle w:val="FootnoteReference"/>
          <w:rFonts w:ascii="Times New Roman" w:hAnsi="Times New Roman" w:cs="Times New Roman"/>
        </w:rPr>
        <w:footnoteReference w:id="24"/>
      </w:r>
      <w:r w:rsidR="004D28A9">
        <w:rPr>
          <w:rFonts w:ascii="Times New Roman" w:hAnsi="Times New Roman" w:cs="Times New Roman"/>
        </w:rPr>
        <w:t xml:space="preserve"> </w:t>
      </w:r>
      <w:r w:rsidR="000C3DDA">
        <w:rPr>
          <w:rFonts w:ascii="Times New Roman" w:hAnsi="Times New Roman" w:cs="Times New Roman"/>
        </w:rPr>
        <w:t xml:space="preserve">For </w:t>
      </w:r>
      <w:r w:rsidR="004D28A9">
        <w:rPr>
          <w:rFonts w:ascii="Times New Roman" w:hAnsi="Times New Roman" w:cs="Times New Roman"/>
        </w:rPr>
        <w:t>these reasons</w:t>
      </w:r>
      <w:r w:rsidR="00935978">
        <w:rPr>
          <w:rFonts w:ascii="Times New Roman" w:hAnsi="Times New Roman" w:cs="Times New Roman"/>
        </w:rPr>
        <w:t xml:space="preserve">, faith is placed in alternative tests for causation, where the ‘but for’ test is disregarded in favour of models of causation with lower thresholds to satisfy (e.g., </w:t>
      </w:r>
      <w:r w:rsidR="00B34CF2">
        <w:rPr>
          <w:rFonts w:ascii="Times New Roman" w:hAnsi="Times New Roman" w:cs="Times New Roman"/>
        </w:rPr>
        <w:t>where the claimant does not need to prove a clear causal link between harm and damage, but instead only needs show that the defendant’s conduct made a material contribution to the damage</w:t>
      </w:r>
      <w:r w:rsidR="00935978">
        <w:rPr>
          <w:rFonts w:ascii="Times New Roman" w:hAnsi="Times New Roman" w:cs="Times New Roman"/>
        </w:rPr>
        <w:t>).</w:t>
      </w:r>
      <w:r w:rsidR="00B81478">
        <w:rPr>
          <w:rStyle w:val="FootnoteReference"/>
          <w:rFonts w:ascii="Times New Roman" w:hAnsi="Times New Roman" w:cs="Times New Roman"/>
        </w:rPr>
        <w:footnoteReference w:id="25"/>
      </w:r>
    </w:p>
    <w:p w14:paraId="000EC531" w14:textId="676ED42A" w:rsidR="00597AF4" w:rsidRDefault="00597AF4" w:rsidP="00D04711">
      <w:pPr>
        <w:spacing w:line="360" w:lineRule="auto"/>
        <w:jc w:val="both"/>
        <w:rPr>
          <w:rFonts w:ascii="Times New Roman" w:hAnsi="Times New Roman" w:cs="Times New Roman"/>
        </w:rPr>
      </w:pPr>
    </w:p>
    <w:p w14:paraId="53A15711" w14:textId="79C22BD0" w:rsidR="000F7EF8" w:rsidRDefault="003046CE" w:rsidP="00D04711">
      <w:pPr>
        <w:spacing w:line="360" w:lineRule="auto"/>
        <w:jc w:val="both"/>
        <w:rPr>
          <w:rFonts w:ascii="Times New Roman" w:hAnsi="Times New Roman" w:cs="Times New Roman"/>
        </w:rPr>
      </w:pPr>
      <w:r>
        <w:rPr>
          <w:rFonts w:ascii="Times New Roman" w:hAnsi="Times New Roman" w:cs="Times New Roman"/>
        </w:rPr>
        <w:t xml:space="preserve">However, although UK courts will depart from the ‘but for’ test in certain situations (e.g., </w:t>
      </w:r>
      <w:r w:rsidR="006C536A">
        <w:rPr>
          <w:rFonts w:ascii="Times New Roman" w:hAnsi="Times New Roman" w:cs="Times New Roman"/>
        </w:rPr>
        <w:t>where the scientific link between tort and damage cannot be made out</w:t>
      </w:r>
      <w:r w:rsidR="00511749">
        <w:rPr>
          <w:rFonts w:ascii="Times New Roman" w:hAnsi="Times New Roman" w:cs="Times New Roman"/>
        </w:rPr>
        <w:t xml:space="preserve">, as in </w:t>
      </w:r>
      <w:r w:rsidR="00511749" w:rsidRPr="00511749">
        <w:rPr>
          <w:rFonts w:ascii="Times New Roman" w:hAnsi="Times New Roman" w:cs="Times New Roman"/>
          <w:i/>
        </w:rPr>
        <w:t xml:space="preserve">Fairchild v </w:t>
      </w:r>
      <w:proofErr w:type="spellStart"/>
      <w:r w:rsidR="00511749" w:rsidRPr="00511749">
        <w:rPr>
          <w:rFonts w:ascii="Times New Roman" w:hAnsi="Times New Roman" w:cs="Times New Roman"/>
          <w:i/>
        </w:rPr>
        <w:t>Glenhaven</w:t>
      </w:r>
      <w:proofErr w:type="spellEnd"/>
      <w:r w:rsidR="00C61527">
        <w:rPr>
          <w:rStyle w:val="FootnoteReference"/>
          <w:rFonts w:ascii="Times New Roman" w:hAnsi="Times New Roman" w:cs="Times New Roman"/>
        </w:rPr>
        <w:footnoteReference w:id="26"/>
      </w:r>
      <w:r>
        <w:rPr>
          <w:rFonts w:ascii="Times New Roman" w:hAnsi="Times New Roman" w:cs="Times New Roman"/>
        </w:rPr>
        <w:t xml:space="preserve">), this approach is no panacea, being </w:t>
      </w:r>
      <w:r w:rsidR="00C61527">
        <w:rPr>
          <w:rFonts w:ascii="Times New Roman" w:hAnsi="Times New Roman" w:cs="Times New Roman"/>
        </w:rPr>
        <w:t xml:space="preserve">so far </w:t>
      </w:r>
      <w:r>
        <w:rPr>
          <w:rFonts w:ascii="Times New Roman" w:hAnsi="Times New Roman" w:cs="Times New Roman"/>
        </w:rPr>
        <w:t>limited to cases</w:t>
      </w:r>
      <w:r w:rsidR="00123908">
        <w:rPr>
          <w:rFonts w:ascii="Times New Roman" w:hAnsi="Times New Roman" w:cs="Times New Roman"/>
        </w:rPr>
        <w:t xml:space="preserve"> </w:t>
      </w:r>
      <w:r w:rsidR="00ED4708">
        <w:rPr>
          <w:rFonts w:ascii="Times New Roman" w:hAnsi="Times New Roman" w:cs="Times New Roman"/>
        </w:rPr>
        <w:t xml:space="preserve">of </w:t>
      </w:r>
      <w:r w:rsidR="00B34CF2">
        <w:rPr>
          <w:rFonts w:ascii="Times New Roman" w:hAnsi="Times New Roman" w:cs="Times New Roman"/>
        </w:rPr>
        <w:t xml:space="preserve">either </w:t>
      </w:r>
      <w:r w:rsidR="00ED4708">
        <w:rPr>
          <w:rFonts w:ascii="Times New Roman" w:hAnsi="Times New Roman" w:cs="Times New Roman"/>
        </w:rPr>
        <w:t xml:space="preserve">clinical negligence or </w:t>
      </w:r>
      <w:r w:rsidR="00CF269C">
        <w:rPr>
          <w:rFonts w:ascii="Times New Roman" w:hAnsi="Times New Roman" w:cs="Times New Roman"/>
        </w:rPr>
        <w:t>the negligence of an employer</w:t>
      </w:r>
      <w:r w:rsidR="00631938">
        <w:rPr>
          <w:rFonts w:ascii="Times New Roman" w:hAnsi="Times New Roman" w:cs="Times New Roman"/>
        </w:rPr>
        <w:t>.</w:t>
      </w:r>
      <w:r w:rsidR="00B34CF2">
        <w:rPr>
          <w:rStyle w:val="FootnoteReference"/>
          <w:rFonts w:ascii="Times New Roman" w:hAnsi="Times New Roman" w:cs="Times New Roman"/>
        </w:rPr>
        <w:footnoteReference w:id="27"/>
      </w:r>
      <w:r w:rsidR="00DC7C5E">
        <w:rPr>
          <w:rFonts w:ascii="Times New Roman" w:hAnsi="Times New Roman" w:cs="Times New Roman"/>
        </w:rPr>
        <w:t xml:space="preserve"> </w:t>
      </w:r>
      <w:r w:rsidR="00CF269C">
        <w:rPr>
          <w:rFonts w:ascii="Times New Roman" w:hAnsi="Times New Roman" w:cs="Times New Roman"/>
        </w:rPr>
        <w:t xml:space="preserve">These cases are factually dissimilar to the types of action that could be brought in CCL. </w:t>
      </w:r>
      <w:r w:rsidR="00B34CF2">
        <w:rPr>
          <w:rFonts w:ascii="Times New Roman" w:hAnsi="Times New Roman" w:cs="Times New Roman"/>
        </w:rPr>
        <w:t>What</w:t>
      </w:r>
      <w:r w:rsidR="00C61527">
        <w:rPr>
          <w:rFonts w:ascii="Times New Roman" w:hAnsi="Times New Roman" w:cs="Times New Roman"/>
        </w:rPr>
        <w:t xml:space="preserve"> i</w:t>
      </w:r>
      <w:r w:rsidR="00B34CF2">
        <w:rPr>
          <w:rFonts w:ascii="Times New Roman" w:hAnsi="Times New Roman" w:cs="Times New Roman"/>
        </w:rPr>
        <w:t>s more</w:t>
      </w:r>
      <w:r w:rsidR="00123908">
        <w:rPr>
          <w:rFonts w:ascii="Times New Roman" w:hAnsi="Times New Roman" w:cs="Times New Roman"/>
        </w:rPr>
        <w:t>,</w:t>
      </w:r>
      <w:r w:rsidR="00E81A17">
        <w:rPr>
          <w:rFonts w:ascii="Times New Roman" w:hAnsi="Times New Roman" w:cs="Times New Roman"/>
        </w:rPr>
        <w:t xml:space="preserve"> the Supreme Court </w:t>
      </w:r>
      <w:r w:rsidR="00270E20">
        <w:rPr>
          <w:rFonts w:ascii="Times New Roman" w:hAnsi="Times New Roman" w:cs="Times New Roman"/>
        </w:rPr>
        <w:t xml:space="preserve">has shown little appetite for expanding the application of </w:t>
      </w:r>
      <w:r w:rsidR="00270E20" w:rsidRPr="00270E20">
        <w:rPr>
          <w:rFonts w:ascii="Times New Roman" w:hAnsi="Times New Roman" w:cs="Times New Roman"/>
          <w:i/>
        </w:rPr>
        <w:t>Fairchild</w:t>
      </w:r>
      <w:r w:rsidR="00270E20">
        <w:rPr>
          <w:rFonts w:ascii="Times New Roman" w:hAnsi="Times New Roman" w:cs="Times New Roman"/>
        </w:rPr>
        <w:t>.</w:t>
      </w:r>
      <w:r w:rsidR="006C536A">
        <w:rPr>
          <w:rStyle w:val="FootnoteReference"/>
          <w:rFonts w:ascii="Times New Roman" w:hAnsi="Times New Roman" w:cs="Times New Roman"/>
        </w:rPr>
        <w:footnoteReference w:id="28"/>
      </w:r>
      <w:r w:rsidR="000F7EF8">
        <w:rPr>
          <w:rFonts w:ascii="Times New Roman" w:hAnsi="Times New Roman" w:cs="Times New Roman"/>
        </w:rPr>
        <w:t xml:space="preserve"> Indeed, given that the decision in </w:t>
      </w:r>
      <w:r w:rsidR="000F7EF8" w:rsidRPr="000F7EF8">
        <w:rPr>
          <w:rFonts w:ascii="Times New Roman" w:hAnsi="Times New Roman" w:cs="Times New Roman"/>
          <w:i/>
        </w:rPr>
        <w:t>Fairchild</w:t>
      </w:r>
      <w:r w:rsidR="000F7EF8">
        <w:rPr>
          <w:rFonts w:ascii="Times New Roman" w:hAnsi="Times New Roman" w:cs="Times New Roman"/>
        </w:rPr>
        <w:t xml:space="preserve"> was founded on the impossibility of determining causation, it may never be applied to CCL should the much-promised science emerge to </w:t>
      </w:r>
      <w:r w:rsidR="00986C41">
        <w:rPr>
          <w:rFonts w:ascii="Times New Roman" w:hAnsi="Times New Roman" w:cs="Times New Roman"/>
        </w:rPr>
        <w:t xml:space="preserve">hypothetically </w:t>
      </w:r>
      <w:r w:rsidR="000F7EF8">
        <w:rPr>
          <w:rFonts w:ascii="Times New Roman" w:hAnsi="Times New Roman" w:cs="Times New Roman"/>
        </w:rPr>
        <w:t>connect an act of GHG emission with a particular form of pollution</w:t>
      </w:r>
      <w:r w:rsidR="00631938">
        <w:rPr>
          <w:rFonts w:ascii="Times New Roman" w:hAnsi="Times New Roman" w:cs="Times New Roman"/>
        </w:rPr>
        <w:t>.</w:t>
      </w:r>
      <w:r w:rsidR="000F7EF8">
        <w:rPr>
          <w:rStyle w:val="FootnoteReference"/>
          <w:rFonts w:ascii="Times New Roman" w:hAnsi="Times New Roman" w:cs="Times New Roman"/>
        </w:rPr>
        <w:footnoteReference w:id="29"/>
      </w:r>
    </w:p>
    <w:p w14:paraId="2F282660" w14:textId="77777777" w:rsidR="00B34CF2" w:rsidRDefault="00B34CF2" w:rsidP="00D04711">
      <w:pPr>
        <w:spacing w:line="360" w:lineRule="auto"/>
        <w:jc w:val="both"/>
        <w:rPr>
          <w:rFonts w:ascii="Times New Roman" w:hAnsi="Times New Roman" w:cs="Times New Roman"/>
        </w:rPr>
      </w:pPr>
    </w:p>
    <w:p w14:paraId="062780D0" w14:textId="658BCAC6" w:rsidR="00986C41" w:rsidRDefault="006C536A" w:rsidP="00D04711">
      <w:pPr>
        <w:spacing w:line="360" w:lineRule="auto"/>
        <w:jc w:val="both"/>
        <w:rPr>
          <w:rFonts w:ascii="Times New Roman" w:hAnsi="Times New Roman" w:cs="Times New Roman"/>
        </w:rPr>
      </w:pPr>
      <w:r>
        <w:rPr>
          <w:rFonts w:ascii="Times New Roman" w:hAnsi="Times New Roman" w:cs="Times New Roman"/>
        </w:rPr>
        <w:t>Finally</w:t>
      </w:r>
      <w:r w:rsidR="00B34CF2">
        <w:rPr>
          <w:rFonts w:ascii="Times New Roman" w:hAnsi="Times New Roman" w:cs="Times New Roman"/>
        </w:rPr>
        <w:t xml:space="preserve">, </w:t>
      </w:r>
      <w:r w:rsidR="00986C41">
        <w:rPr>
          <w:rFonts w:ascii="Times New Roman" w:hAnsi="Times New Roman" w:cs="Times New Roman"/>
        </w:rPr>
        <w:t>there are further problems in relying on common law doctrine to combat environmental damage caused by climate change.</w:t>
      </w:r>
      <w:r w:rsidR="00B34CF2">
        <w:rPr>
          <w:rFonts w:ascii="Times New Roman" w:hAnsi="Times New Roman" w:cs="Times New Roman"/>
        </w:rPr>
        <w:t xml:space="preserve"> </w:t>
      </w:r>
      <w:r w:rsidR="00986C41">
        <w:rPr>
          <w:rFonts w:ascii="Times New Roman" w:hAnsi="Times New Roman" w:cs="Times New Roman"/>
        </w:rPr>
        <w:t xml:space="preserve">For </w:t>
      </w:r>
      <w:r w:rsidR="008422B1">
        <w:rPr>
          <w:rFonts w:ascii="Times New Roman" w:hAnsi="Times New Roman" w:cs="Times New Roman"/>
        </w:rPr>
        <w:t>instance</w:t>
      </w:r>
      <w:r w:rsidR="00986C41">
        <w:rPr>
          <w:rFonts w:ascii="Times New Roman" w:hAnsi="Times New Roman" w:cs="Times New Roman"/>
        </w:rPr>
        <w:t>, it remains unclear as to how to place a claimant back in the position he was in before the wrong occurred, or how a court would acknowledge the benefits that have accrued, however modestly, from the emission of GHG.</w:t>
      </w:r>
      <w:r w:rsidR="00986C41">
        <w:rPr>
          <w:rStyle w:val="FootnoteReference"/>
          <w:rFonts w:ascii="Times New Roman" w:hAnsi="Times New Roman" w:cs="Times New Roman"/>
        </w:rPr>
        <w:footnoteReference w:id="30"/>
      </w:r>
      <w:r w:rsidR="00986C41">
        <w:rPr>
          <w:rFonts w:ascii="Times New Roman" w:hAnsi="Times New Roman" w:cs="Times New Roman"/>
        </w:rPr>
        <w:t xml:space="preserve"> </w:t>
      </w:r>
      <w:r w:rsidR="00C61527">
        <w:rPr>
          <w:rFonts w:ascii="Times New Roman" w:hAnsi="Times New Roman" w:cs="Times New Roman"/>
        </w:rPr>
        <w:t>T</w:t>
      </w:r>
      <w:r w:rsidR="00986C41">
        <w:rPr>
          <w:rFonts w:ascii="Times New Roman" w:hAnsi="Times New Roman" w:cs="Times New Roman"/>
        </w:rPr>
        <w:t>here is a</w:t>
      </w:r>
      <w:r w:rsidR="00C61527">
        <w:rPr>
          <w:rFonts w:ascii="Times New Roman" w:hAnsi="Times New Roman" w:cs="Times New Roman"/>
        </w:rPr>
        <w:t xml:space="preserve"> further</w:t>
      </w:r>
      <w:r w:rsidR="00986C41">
        <w:rPr>
          <w:rFonts w:ascii="Times New Roman" w:hAnsi="Times New Roman" w:cs="Times New Roman"/>
        </w:rPr>
        <w:t xml:space="preserve"> problem in that GHG can linger around for </w:t>
      </w:r>
      <w:r w:rsidR="008422B1">
        <w:rPr>
          <w:rFonts w:ascii="Times New Roman" w:hAnsi="Times New Roman" w:cs="Times New Roman"/>
        </w:rPr>
        <w:t>decades</w:t>
      </w:r>
      <w:r w:rsidR="00986C41">
        <w:rPr>
          <w:rFonts w:ascii="Times New Roman" w:hAnsi="Times New Roman" w:cs="Times New Roman"/>
        </w:rPr>
        <w:t>, frustrating any efforts to tie emission to subsequent harm.</w:t>
      </w:r>
      <w:r w:rsidR="00986C41">
        <w:rPr>
          <w:rStyle w:val="FootnoteReference"/>
          <w:rFonts w:ascii="Times New Roman" w:hAnsi="Times New Roman" w:cs="Times New Roman"/>
        </w:rPr>
        <w:footnoteReference w:id="31"/>
      </w:r>
      <w:r w:rsidR="00986C41">
        <w:rPr>
          <w:rFonts w:ascii="Times New Roman" w:hAnsi="Times New Roman" w:cs="Times New Roman"/>
        </w:rPr>
        <w:t xml:space="preserve"> </w:t>
      </w:r>
      <w:r w:rsidR="00C61527">
        <w:rPr>
          <w:rFonts w:ascii="Times New Roman" w:hAnsi="Times New Roman" w:cs="Times New Roman"/>
        </w:rPr>
        <w:t>Moreover, a</w:t>
      </w:r>
      <w:r w:rsidR="00986C41">
        <w:rPr>
          <w:rFonts w:ascii="Times New Roman" w:hAnsi="Times New Roman" w:cs="Times New Roman"/>
        </w:rPr>
        <w:t xml:space="preserve">fter causation, perhaps the biggest issue is </w:t>
      </w:r>
      <w:r w:rsidR="00C61527">
        <w:rPr>
          <w:rFonts w:ascii="Times New Roman" w:hAnsi="Times New Roman" w:cs="Times New Roman"/>
        </w:rPr>
        <w:t xml:space="preserve">determining </w:t>
      </w:r>
      <w:r w:rsidR="00986C41">
        <w:rPr>
          <w:rFonts w:ascii="Times New Roman" w:hAnsi="Times New Roman" w:cs="Times New Roman"/>
        </w:rPr>
        <w:t xml:space="preserve">liability; and even although it has been suggested that courts may rely upon some assessment of market share in determining which emitters of GHGs were most responsible (and to what proportion) </w:t>
      </w:r>
      <w:r w:rsidR="00323C41">
        <w:rPr>
          <w:rFonts w:ascii="Times New Roman" w:hAnsi="Times New Roman" w:cs="Times New Roman"/>
        </w:rPr>
        <w:t>for</w:t>
      </w:r>
      <w:r w:rsidR="00986C41">
        <w:rPr>
          <w:rFonts w:ascii="Times New Roman" w:hAnsi="Times New Roman" w:cs="Times New Roman"/>
        </w:rPr>
        <w:t xml:space="preserve"> environmental damage caused by climate change</w:t>
      </w:r>
      <w:r w:rsidR="006B2540">
        <w:rPr>
          <w:rStyle w:val="FootnoteReference"/>
          <w:rFonts w:ascii="Times New Roman" w:hAnsi="Times New Roman" w:cs="Times New Roman"/>
        </w:rPr>
        <w:footnoteReference w:id="32"/>
      </w:r>
      <w:r w:rsidR="00986C41">
        <w:rPr>
          <w:rFonts w:ascii="Times New Roman" w:hAnsi="Times New Roman" w:cs="Times New Roman"/>
        </w:rPr>
        <w:t xml:space="preserve">, in the UK </w:t>
      </w:r>
      <w:r w:rsidR="00986C41">
        <w:rPr>
          <w:rFonts w:ascii="Times New Roman" w:hAnsi="Times New Roman" w:cs="Times New Roman"/>
        </w:rPr>
        <w:lastRenderedPageBreak/>
        <w:t>context this</w:t>
      </w:r>
      <w:r w:rsidR="006B2540">
        <w:rPr>
          <w:rFonts w:ascii="Times New Roman" w:hAnsi="Times New Roman" w:cs="Times New Roman"/>
        </w:rPr>
        <w:t xml:space="preserve"> </w:t>
      </w:r>
      <w:r w:rsidR="00323C41">
        <w:rPr>
          <w:rFonts w:ascii="Times New Roman" w:hAnsi="Times New Roman" w:cs="Times New Roman"/>
        </w:rPr>
        <w:t>remains an academic issue only</w:t>
      </w:r>
      <w:r w:rsidR="00986C41">
        <w:rPr>
          <w:rFonts w:ascii="Times New Roman" w:hAnsi="Times New Roman" w:cs="Times New Roman"/>
        </w:rPr>
        <w:t>.</w:t>
      </w:r>
      <w:r w:rsidR="00527594">
        <w:rPr>
          <w:rFonts w:ascii="Times New Roman" w:hAnsi="Times New Roman" w:cs="Times New Roman"/>
        </w:rPr>
        <w:t xml:space="preserve"> The challenge of satisfying legal models of causation therefore remain considerable.</w:t>
      </w:r>
    </w:p>
    <w:p w14:paraId="08298F32" w14:textId="23EEDDD4" w:rsidR="00D407BA" w:rsidRDefault="00D407BA" w:rsidP="00D04711">
      <w:pPr>
        <w:spacing w:line="360" w:lineRule="auto"/>
        <w:jc w:val="both"/>
        <w:rPr>
          <w:rFonts w:ascii="Times New Roman" w:hAnsi="Times New Roman" w:cs="Times New Roman"/>
        </w:rPr>
      </w:pPr>
    </w:p>
    <w:p w14:paraId="1DC0D919" w14:textId="77777777" w:rsidR="00A04789" w:rsidRDefault="00A04789" w:rsidP="00D04711">
      <w:pPr>
        <w:spacing w:line="360" w:lineRule="auto"/>
        <w:jc w:val="both"/>
        <w:rPr>
          <w:rFonts w:ascii="Times New Roman" w:hAnsi="Times New Roman" w:cs="Times New Roman"/>
        </w:rPr>
      </w:pPr>
    </w:p>
    <w:p w14:paraId="23F052BC" w14:textId="0A5547B6" w:rsidR="00A04789" w:rsidRDefault="00A04789" w:rsidP="00D04711">
      <w:pPr>
        <w:spacing w:line="360" w:lineRule="auto"/>
        <w:jc w:val="both"/>
        <w:rPr>
          <w:rFonts w:ascii="Times New Roman" w:hAnsi="Times New Roman" w:cs="Times New Roman"/>
        </w:rPr>
      </w:pPr>
      <w:r w:rsidRPr="00A04789">
        <w:rPr>
          <w:rFonts w:ascii="Times New Roman" w:hAnsi="Times New Roman" w:cs="Times New Roman"/>
          <w:b/>
        </w:rPr>
        <w:t>Conclusion</w:t>
      </w:r>
      <w:r>
        <w:rPr>
          <w:rFonts w:ascii="Times New Roman" w:hAnsi="Times New Roman" w:cs="Times New Roman"/>
        </w:rPr>
        <w:t>.</w:t>
      </w:r>
    </w:p>
    <w:p w14:paraId="04ACCA5E" w14:textId="0E5C214B" w:rsidR="00A04789" w:rsidRDefault="00323C41" w:rsidP="00D04711">
      <w:pPr>
        <w:spacing w:line="360" w:lineRule="auto"/>
        <w:jc w:val="both"/>
        <w:rPr>
          <w:rFonts w:ascii="Times New Roman" w:hAnsi="Times New Roman" w:cs="Times New Roman"/>
        </w:rPr>
      </w:pPr>
      <w:r>
        <w:rPr>
          <w:rFonts w:ascii="Times New Roman" w:hAnsi="Times New Roman" w:cs="Times New Roman"/>
        </w:rPr>
        <w:t xml:space="preserve">For these reasons, there is limited room to apply common law doctrine to combat environmental damage caused by climate change. As has been argued, there is potential utility to the doctrines of public nuisance or negligence in future CCL, subject to developments that establish a duty of care between GHG emitters and others. This remains more hypothetical than realistic, however. Rather, </w:t>
      </w:r>
      <w:r w:rsidR="00ED69B1">
        <w:rPr>
          <w:rFonts w:ascii="Times New Roman" w:hAnsi="Times New Roman" w:cs="Times New Roman"/>
        </w:rPr>
        <w:t xml:space="preserve">there is at present no room to use common law to combat environmental damage caused by climate change. This is for two reasons. Firstly, those who argue in favour of common law do so with blind faith in the willingness of the judiciary to develop common law as the effects of climate change become more powerful. But, as this analysis has shown, there appears to be little </w:t>
      </w:r>
      <w:r w:rsidR="00511749">
        <w:rPr>
          <w:rFonts w:ascii="Times New Roman" w:hAnsi="Times New Roman" w:cs="Times New Roman"/>
        </w:rPr>
        <w:t>evidence of this</w:t>
      </w:r>
      <w:r w:rsidR="00ED69B1">
        <w:rPr>
          <w:rFonts w:ascii="Times New Roman" w:hAnsi="Times New Roman" w:cs="Times New Roman"/>
        </w:rPr>
        <w:t xml:space="preserve"> happening. In addition, assuming the judiciary were willing to develop common law doctrine, there is no obvious way of satisfying legal notions of causation without distorting extant legal authority. Courts have only been willing to move away from the ‘but for’ test in very limited circumstances, and there is little justification to suggest that they wold do so in future CCL. There are also issues over how the courts could determine liability with so many contributing to the effects of climate change. All of these reasons significantly limit the room to apply common law doctrine, however creatively, to combat environmental damage caused by climate change.</w:t>
      </w:r>
    </w:p>
    <w:p w14:paraId="6B45FBDB" w14:textId="76DBF9B7" w:rsidR="00362E3E" w:rsidRDefault="00362E3E" w:rsidP="00D04711">
      <w:pPr>
        <w:spacing w:line="360" w:lineRule="auto"/>
        <w:jc w:val="both"/>
        <w:rPr>
          <w:rFonts w:ascii="Times New Roman" w:hAnsi="Times New Roman" w:cs="Times New Roman"/>
        </w:rPr>
      </w:pPr>
    </w:p>
    <w:p w14:paraId="7007D6BE" w14:textId="77C61B33" w:rsidR="00362E3E" w:rsidRDefault="00362E3E" w:rsidP="00D04711">
      <w:pPr>
        <w:spacing w:line="360" w:lineRule="auto"/>
        <w:jc w:val="both"/>
        <w:rPr>
          <w:rFonts w:ascii="Times New Roman" w:hAnsi="Times New Roman" w:cs="Times New Roman"/>
        </w:rPr>
      </w:pPr>
    </w:p>
    <w:p w14:paraId="060E6E30" w14:textId="123B2E89" w:rsidR="00362E3E" w:rsidRPr="004C278A" w:rsidRDefault="00362E3E" w:rsidP="00D04711">
      <w:pPr>
        <w:spacing w:line="360" w:lineRule="auto"/>
        <w:jc w:val="both"/>
        <w:rPr>
          <w:rFonts w:ascii="Times New Roman" w:hAnsi="Times New Roman" w:cs="Times New Roman"/>
          <w:b/>
        </w:rPr>
      </w:pPr>
      <w:r w:rsidRPr="004C278A">
        <w:rPr>
          <w:rFonts w:ascii="Times New Roman" w:hAnsi="Times New Roman" w:cs="Times New Roman"/>
          <w:b/>
        </w:rPr>
        <w:t xml:space="preserve">Word Count: </w:t>
      </w:r>
      <w:r w:rsidR="004C278A" w:rsidRPr="004C278A">
        <w:rPr>
          <w:rFonts w:ascii="Times New Roman" w:hAnsi="Times New Roman" w:cs="Times New Roman"/>
          <w:b/>
        </w:rPr>
        <w:t>24</w:t>
      </w:r>
      <w:r w:rsidR="008422B1">
        <w:rPr>
          <w:rFonts w:ascii="Times New Roman" w:hAnsi="Times New Roman" w:cs="Times New Roman"/>
          <w:b/>
        </w:rPr>
        <w:t>8</w:t>
      </w:r>
      <w:r w:rsidR="00E251C3">
        <w:rPr>
          <w:rFonts w:ascii="Times New Roman" w:hAnsi="Times New Roman" w:cs="Times New Roman"/>
          <w:b/>
        </w:rPr>
        <w:t>2</w:t>
      </w:r>
      <w:r w:rsidR="004C278A" w:rsidRPr="004C278A">
        <w:rPr>
          <w:rFonts w:ascii="Times New Roman" w:hAnsi="Times New Roman" w:cs="Times New Roman"/>
          <w:b/>
        </w:rPr>
        <w:t>.</w:t>
      </w:r>
    </w:p>
    <w:sectPr w:rsidR="00362E3E" w:rsidRPr="004C278A" w:rsidSect="00BD17B3">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271A" w14:textId="77777777" w:rsidR="004E658E" w:rsidRDefault="004E658E" w:rsidP="005A760C">
      <w:r>
        <w:separator/>
      </w:r>
    </w:p>
  </w:endnote>
  <w:endnote w:type="continuationSeparator" w:id="0">
    <w:p w14:paraId="17075739" w14:textId="77777777" w:rsidR="004E658E" w:rsidRDefault="004E658E" w:rsidP="005A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4491050"/>
      <w:docPartObj>
        <w:docPartGallery w:val="Page Numbers (Bottom of Page)"/>
        <w:docPartUnique/>
      </w:docPartObj>
    </w:sdtPr>
    <w:sdtEndPr>
      <w:rPr>
        <w:rStyle w:val="PageNumber"/>
      </w:rPr>
    </w:sdtEndPr>
    <w:sdtContent>
      <w:p w14:paraId="6478CFD6" w14:textId="2DD83FB4" w:rsidR="005A760C" w:rsidRDefault="005A760C" w:rsidP="00480E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76F43" w14:textId="77777777" w:rsidR="005A760C" w:rsidRDefault="005A7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964969777"/>
      <w:docPartObj>
        <w:docPartGallery w:val="Page Numbers (Bottom of Page)"/>
        <w:docPartUnique/>
      </w:docPartObj>
    </w:sdtPr>
    <w:sdtEndPr>
      <w:rPr>
        <w:rStyle w:val="PageNumber"/>
      </w:rPr>
    </w:sdtEndPr>
    <w:sdtContent>
      <w:p w14:paraId="5626882C" w14:textId="455A5F87" w:rsidR="005A760C" w:rsidRPr="005A760C" w:rsidRDefault="005A760C" w:rsidP="00480EE4">
        <w:pPr>
          <w:pStyle w:val="Footer"/>
          <w:framePr w:wrap="none" w:vAnchor="text" w:hAnchor="margin" w:xAlign="center" w:y="1"/>
          <w:rPr>
            <w:rStyle w:val="PageNumber"/>
            <w:rFonts w:ascii="Times New Roman" w:hAnsi="Times New Roman" w:cs="Times New Roman"/>
          </w:rPr>
        </w:pPr>
        <w:r w:rsidRPr="005A760C">
          <w:rPr>
            <w:rStyle w:val="PageNumber"/>
            <w:rFonts w:ascii="Times New Roman" w:hAnsi="Times New Roman" w:cs="Times New Roman"/>
          </w:rPr>
          <w:fldChar w:fldCharType="begin"/>
        </w:r>
        <w:r w:rsidRPr="005A760C">
          <w:rPr>
            <w:rStyle w:val="PageNumber"/>
            <w:rFonts w:ascii="Times New Roman" w:hAnsi="Times New Roman" w:cs="Times New Roman"/>
          </w:rPr>
          <w:instrText xml:space="preserve"> PAGE </w:instrText>
        </w:r>
        <w:r w:rsidRPr="005A760C">
          <w:rPr>
            <w:rStyle w:val="PageNumber"/>
            <w:rFonts w:ascii="Times New Roman" w:hAnsi="Times New Roman" w:cs="Times New Roman"/>
          </w:rPr>
          <w:fldChar w:fldCharType="separate"/>
        </w:r>
        <w:r w:rsidRPr="005A760C">
          <w:rPr>
            <w:rStyle w:val="PageNumber"/>
            <w:rFonts w:ascii="Times New Roman" w:hAnsi="Times New Roman" w:cs="Times New Roman"/>
            <w:noProof/>
          </w:rPr>
          <w:t>1</w:t>
        </w:r>
        <w:r w:rsidRPr="005A760C">
          <w:rPr>
            <w:rStyle w:val="PageNumber"/>
            <w:rFonts w:ascii="Times New Roman" w:hAnsi="Times New Roman" w:cs="Times New Roman"/>
          </w:rPr>
          <w:fldChar w:fldCharType="end"/>
        </w:r>
      </w:p>
    </w:sdtContent>
  </w:sdt>
  <w:p w14:paraId="330EC920" w14:textId="77777777" w:rsidR="005A760C" w:rsidRPr="005A760C" w:rsidRDefault="005A760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68CBE" w14:textId="77777777" w:rsidR="004E658E" w:rsidRDefault="004E658E" w:rsidP="005A760C">
      <w:r>
        <w:separator/>
      </w:r>
    </w:p>
  </w:footnote>
  <w:footnote w:type="continuationSeparator" w:id="0">
    <w:p w14:paraId="3957417D" w14:textId="77777777" w:rsidR="004E658E" w:rsidRDefault="004E658E" w:rsidP="005A760C">
      <w:r>
        <w:continuationSeparator/>
      </w:r>
    </w:p>
  </w:footnote>
  <w:footnote w:id="1">
    <w:p w14:paraId="0BC17E0A" w14:textId="77777777" w:rsidR="00B7607C" w:rsidRPr="00323C41" w:rsidRDefault="00B7607C"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E.g., John Lowry and Rod Edmunds (eds), </w:t>
      </w:r>
      <w:r w:rsidRPr="00323C41">
        <w:rPr>
          <w:rFonts w:ascii="Times New Roman" w:hAnsi="Times New Roman" w:cs="Times New Roman"/>
          <w:i/>
        </w:rPr>
        <w:t>Environmental Protection and the Common Law</w:t>
      </w:r>
      <w:r w:rsidRPr="00323C41">
        <w:rPr>
          <w:rFonts w:ascii="Times New Roman" w:hAnsi="Times New Roman" w:cs="Times New Roman"/>
        </w:rPr>
        <w:t xml:space="preserve"> (Oxford and Portland, Oregon: Hart Publishing, 2000); </w:t>
      </w:r>
      <w:proofErr w:type="spellStart"/>
      <w:r w:rsidRPr="00323C41">
        <w:rPr>
          <w:rFonts w:ascii="Times New Roman" w:eastAsia="Times New Roman" w:hAnsi="Times New Roman" w:cs="Times New Roman"/>
          <w:iCs/>
        </w:rPr>
        <w:t>Giedrė</w:t>
      </w:r>
      <w:proofErr w:type="spellEnd"/>
      <w:r w:rsidRPr="00323C41">
        <w:rPr>
          <w:rFonts w:ascii="Times New Roman" w:eastAsia="Times New Roman" w:hAnsi="Times New Roman" w:cs="Times New Roman"/>
          <w:iCs/>
        </w:rPr>
        <w:t xml:space="preserve"> </w:t>
      </w:r>
      <w:proofErr w:type="spellStart"/>
      <w:r w:rsidRPr="00323C41">
        <w:rPr>
          <w:rFonts w:ascii="Times New Roman" w:eastAsia="Times New Roman" w:hAnsi="Times New Roman" w:cs="Times New Roman"/>
          <w:iCs/>
        </w:rPr>
        <w:t>Kaminskaitė</w:t>
      </w:r>
      <w:proofErr w:type="spellEnd"/>
      <w:r w:rsidRPr="00323C41">
        <w:rPr>
          <w:rFonts w:ascii="Times New Roman" w:eastAsia="Times New Roman" w:hAnsi="Times New Roman" w:cs="Times New Roman"/>
        </w:rPr>
        <w:t>-</w:t>
      </w:r>
      <w:r w:rsidRPr="00323C41">
        <w:rPr>
          <w:rFonts w:ascii="Times New Roman" w:eastAsia="Times New Roman" w:hAnsi="Times New Roman" w:cs="Times New Roman"/>
          <w:iCs/>
        </w:rPr>
        <w:t xml:space="preserve">Salters, </w:t>
      </w:r>
      <w:r w:rsidRPr="00323C41">
        <w:rPr>
          <w:rFonts w:ascii="Times New Roman" w:eastAsia="Times New Roman" w:hAnsi="Times New Roman" w:cs="Times New Roman"/>
          <w:i/>
          <w:iCs/>
        </w:rPr>
        <w:t>Constructing a Private Climate Change Lawsuit Under English Law: A Comparative Perspective</w:t>
      </w:r>
      <w:r w:rsidRPr="00323C41">
        <w:rPr>
          <w:rFonts w:ascii="Times New Roman" w:eastAsia="Times New Roman" w:hAnsi="Times New Roman" w:cs="Times New Roman"/>
          <w:iCs/>
        </w:rPr>
        <w:t xml:space="preserve"> (Great Britain: Kluwer Law International, 2010); and </w:t>
      </w:r>
      <w:r w:rsidRPr="00323C41">
        <w:rPr>
          <w:rFonts w:ascii="Times New Roman" w:hAnsi="Times New Roman" w:cs="Times New Roman"/>
        </w:rPr>
        <w:t xml:space="preserve">Daniel G. Hare, ‘Blue Jeans, Chewing Gum and Climate Change Litigation: American Exports to Europe’, </w:t>
      </w:r>
      <w:r w:rsidRPr="00323C41">
        <w:rPr>
          <w:rFonts w:ascii="Times New Roman" w:hAnsi="Times New Roman" w:cs="Times New Roman"/>
          <w:i/>
        </w:rPr>
        <w:t>Utrecht Journal of International and European Law</w:t>
      </w:r>
      <w:r w:rsidRPr="00323C41">
        <w:rPr>
          <w:rFonts w:ascii="Times New Roman" w:hAnsi="Times New Roman" w:cs="Times New Roman"/>
        </w:rPr>
        <w:t xml:space="preserve">, vol. 29, </w:t>
      </w:r>
      <w:proofErr w:type="spellStart"/>
      <w:r w:rsidRPr="00323C41">
        <w:rPr>
          <w:rFonts w:ascii="Times New Roman" w:hAnsi="Times New Roman" w:cs="Times New Roman"/>
        </w:rPr>
        <w:t>iss</w:t>
      </w:r>
      <w:proofErr w:type="spellEnd"/>
      <w:r w:rsidRPr="00323C41">
        <w:rPr>
          <w:rFonts w:ascii="Times New Roman" w:hAnsi="Times New Roman" w:cs="Times New Roman"/>
        </w:rPr>
        <w:t>. 76 (2013), pp. 65-87.</w:t>
      </w:r>
    </w:p>
  </w:footnote>
  <w:footnote w:id="2">
    <w:p w14:paraId="6FE9E1BB" w14:textId="77777777" w:rsidR="00AF645C" w:rsidRPr="00323C41" w:rsidRDefault="00AF645C" w:rsidP="00AF645C">
      <w:pPr>
        <w:jc w:val="both"/>
        <w:rPr>
          <w:rFonts w:ascii="Times New Roman" w:hAnsi="Times New Roman" w:cs="Times New Roman"/>
          <w:sz w:val="20"/>
          <w:szCs w:val="20"/>
        </w:rPr>
      </w:pPr>
      <w:r w:rsidRPr="00323C41">
        <w:rPr>
          <w:rStyle w:val="FootnoteReference"/>
          <w:rFonts w:ascii="Times New Roman" w:hAnsi="Times New Roman" w:cs="Times New Roman"/>
          <w:sz w:val="20"/>
          <w:szCs w:val="20"/>
        </w:rPr>
        <w:footnoteRef/>
      </w:r>
      <w:r w:rsidRPr="00323C41">
        <w:rPr>
          <w:rFonts w:ascii="Times New Roman" w:hAnsi="Times New Roman" w:cs="Times New Roman"/>
          <w:sz w:val="20"/>
          <w:szCs w:val="20"/>
        </w:rPr>
        <w:t xml:space="preserve"> Those UK CCL cases to emerge have exclusively been judicial reviews: e.g., </w:t>
      </w:r>
      <w:r w:rsidRPr="00323C41">
        <w:rPr>
          <w:rFonts w:ascii="Times New Roman" w:eastAsia="Times New Roman" w:hAnsi="Times New Roman" w:cs="Times New Roman"/>
          <w:bCs/>
          <w:i/>
          <w:sz w:val="20"/>
          <w:szCs w:val="20"/>
        </w:rPr>
        <w:t xml:space="preserve">Plan B Earth and Others v Secretary of State for Business, Energy and Industrial Strategy and Another </w:t>
      </w:r>
      <w:r w:rsidRPr="00323C41">
        <w:rPr>
          <w:rFonts w:ascii="Times New Roman" w:eastAsia="Times New Roman" w:hAnsi="Times New Roman" w:cs="Times New Roman"/>
          <w:bCs/>
          <w:sz w:val="20"/>
          <w:szCs w:val="20"/>
        </w:rPr>
        <w:t>[2018] EWHC 1892 (Admin).</w:t>
      </w:r>
    </w:p>
  </w:footnote>
  <w:footnote w:id="3">
    <w:p w14:paraId="54F5832D" w14:textId="0CBCEAD3" w:rsidR="00573A5A" w:rsidRPr="00323C41" w:rsidRDefault="00573A5A"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India Bourke, ‘How UK Cities Could Start Suing Over Extreme Weather’, </w:t>
      </w:r>
      <w:r w:rsidRPr="00323C41">
        <w:rPr>
          <w:rFonts w:ascii="Times New Roman" w:hAnsi="Times New Roman" w:cs="Times New Roman"/>
          <w:i/>
        </w:rPr>
        <w:t>New Statesman</w:t>
      </w:r>
      <w:r w:rsidRPr="00323C41">
        <w:rPr>
          <w:rFonts w:ascii="Times New Roman" w:hAnsi="Times New Roman" w:cs="Times New Roman"/>
        </w:rPr>
        <w:t xml:space="preserve">, 29 March 2018 &lt;available via: </w:t>
      </w:r>
      <w:hyperlink r:id="rId1" w:history="1">
        <w:r w:rsidRPr="00323C41">
          <w:rPr>
            <w:rStyle w:val="Hyperlink"/>
            <w:rFonts w:ascii="Times New Roman" w:hAnsi="Times New Roman" w:cs="Times New Roman"/>
          </w:rPr>
          <w:t>https://www.newstatesman.com/politics/energy/2018/03/how-uk-cities-could-start-suing-over-extreme-weather</w:t>
        </w:r>
      </w:hyperlink>
      <w:r w:rsidRPr="00323C41">
        <w:rPr>
          <w:rFonts w:ascii="Times New Roman" w:hAnsi="Times New Roman" w:cs="Times New Roman"/>
        </w:rPr>
        <w:t>, accessed online 17 February 2019&gt;.</w:t>
      </w:r>
    </w:p>
  </w:footnote>
  <w:footnote w:id="4">
    <w:p w14:paraId="69B63029" w14:textId="1683FA87" w:rsidR="00573A5A" w:rsidRPr="00323C41" w:rsidRDefault="00573A5A"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On which, see Damian Carrington, ‘Can Climate Litigation Save The World</w:t>
      </w:r>
      <w:r w:rsidR="00106976" w:rsidRPr="00323C41">
        <w:rPr>
          <w:rFonts w:ascii="Times New Roman" w:hAnsi="Times New Roman" w:cs="Times New Roman"/>
        </w:rPr>
        <w:t>?</w:t>
      </w:r>
      <w:r w:rsidRPr="00323C41">
        <w:rPr>
          <w:rFonts w:ascii="Times New Roman" w:hAnsi="Times New Roman" w:cs="Times New Roman"/>
        </w:rPr>
        <w:t xml:space="preserve">’, </w:t>
      </w:r>
      <w:r w:rsidRPr="00323C41">
        <w:rPr>
          <w:rFonts w:ascii="Times New Roman" w:hAnsi="Times New Roman" w:cs="Times New Roman"/>
          <w:i/>
        </w:rPr>
        <w:t>The Guardian</w:t>
      </w:r>
      <w:r w:rsidRPr="00323C41">
        <w:rPr>
          <w:rFonts w:ascii="Times New Roman" w:hAnsi="Times New Roman" w:cs="Times New Roman"/>
        </w:rPr>
        <w:t xml:space="preserve">, 20 March 2018 &lt;available via: </w:t>
      </w:r>
      <w:hyperlink r:id="rId2" w:history="1">
        <w:r w:rsidRPr="00323C41">
          <w:rPr>
            <w:rStyle w:val="Hyperlink"/>
            <w:rFonts w:ascii="Times New Roman" w:hAnsi="Times New Roman" w:cs="Times New Roman"/>
          </w:rPr>
          <w:t>https://www.theguardian.com/environment/2018/mar/20/can-climate-litigation-save-the-world</w:t>
        </w:r>
      </w:hyperlink>
      <w:r w:rsidRPr="00323C41">
        <w:rPr>
          <w:rFonts w:ascii="Times New Roman" w:hAnsi="Times New Roman" w:cs="Times New Roman"/>
        </w:rPr>
        <w:t>, accessed online 17 February 2019&gt;.</w:t>
      </w:r>
    </w:p>
  </w:footnote>
  <w:footnote w:id="5">
    <w:p w14:paraId="03C5CF6E" w14:textId="77777777" w:rsidR="00141410" w:rsidRPr="00323C41" w:rsidRDefault="00141410" w:rsidP="00323C41">
      <w:pPr>
        <w:jc w:val="both"/>
        <w:rPr>
          <w:rFonts w:ascii="Times New Roman" w:eastAsia="Times New Roman" w:hAnsi="Times New Roman" w:cs="Times New Roman"/>
          <w:sz w:val="20"/>
          <w:szCs w:val="20"/>
        </w:rPr>
      </w:pPr>
      <w:r w:rsidRPr="00323C41">
        <w:rPr>
          <w:rStyle w:val="FootnoteReference"/>
          <w:rFonts w:ascii="Times New Roman" w:hAnsi="Times New Roman" w:cs="Times New Roman"/>
          <w:sz w:val="20"/>
          <w:szCs w:val="20"/>
        </w:rPr>
        <w:footnoteRef/>
      </w:r>
      <w:r w:rsidRPr="00323C41">
        <w:rPr>
          <w:rFonts w:ascii="Times New Roman" w:hAnsi="Times New Roman" w:cs="Times New Roman"/>
          <w:sz w:val="20"/>
          <w:szCs w:val="20"/>
        </w:rPr>
        <w:t xml:space="preserve"> This focus on nuisance and negligence is not to suggest that no other common law doctrine could be relied upon, but simply that these two doctrines are identified as having the most potential for CCL.</w:t>
      </w:r>
    </w:p>
  </w:footnote>
  <w:footnote w:id="6">
    <w:p w14:paraId="1C444211" w14:textId="3F92E8DA" w:rsidR="00384D4C" w:rsidRPr="00323C41" w:rsidRDefault="00384D4C"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John Bates, William </w:t>
      </w:r>
      <w:proofErr w:type="spellStart"/>
      <w:r w:rsidRPr="00323C41">
        <w:rPr>
          <w:rFonts w:ascii="Times New Roman" w:hAnsi="Times New Roman" w:cs="Times New Roman"/>
        </w:rPr>
        <w:t>Birtles</w:t>
      </w:r>
      <w:proofErr w:type="spellEnd"/>
      <w:r w:rsidRPr="00323C41">
        <w:rPr>
          <w:rFonts w:ascii="Times New Roman" w:hAnsi="Times New Roman" w:cs="Times New Roman"/>
        </w:rPr>
        <w:t xml:space="preserve"> and Charles Pugh, </w:t>
      </w:r>
      <w:r w:rsidRPr="00323C41">
        <w:rPr>
          <w:rFonts w:ascii="Times New Roman" w:hAnsi="Times New Roman" w:cs="Times New Roman"/>
          <w:i/>
        </w:rPr>
        <w:t>Liability for Environmental Harm</w:t>
      </w:r>
      <w:r w:rsidRPr="00323C41">
        <w:rPr>
          <w:rFonts w:ascii="Times New Roman" w:hAnsi="Times New Roman" w:cs="Times New Roman"/>
        </w:rPr>
        <w:t xml:space="preserve"> (London: </w:t>
      </w:r>
      <w:proofErr w:type="spellStart"/>
      <w:r w:rsidRPr="00323C41">
        <w:rPr>
          <w:rFonts w:ascii="Times New Roman" w:hAnsi="Times New Roman" w:cs="Times New Roman"/>
        </w:rPr>
        <w:t>LexisNexus</w:t>
      </w:r>
      <w:proofErr w:type="spellEnd"/>
      <w:r w:rsidRPr="00323C41">
        <w:rPr>
          <w:rFonts w:ascii="Times New Roman" w:hAnsi="Times New Roman" w:cs="Times New Roman"/>
        </w:rPr>
        <w:t xml:space="preserve"> UK, 2004), paras 2.83 to 2.87.</w:t>
      </w:r>
    </w:p>
  </w:footnote>
  <w:footnote w:id="7">
    <w:p w14:paraId="0D0BD0E3" w14:textId="65B2ABC8" w:rsidR="004D37F3" w:rsidRPr="00323C41" w:rsidRDefault="004D37F3"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005932F1" w:rsidRPr="00323C41">
        <w:rPr>
          <w:rFonts w:ascii="Times New Roman" w:hAnsi="Times New Roman" w:cs="Times New Roman"/>
        </w:rPr>
        <w:t xml:space="preserve">Michael A. Jones, Anthony M. </w:t>
      </w:r>
      <w:proofErr w:type="spellStart"/>
      <w:r w:rsidR="005932F1" w:rsidRPr="00323C41">
        <w:rPr>
          <w:rFonts w:ascii="Times New Roman" w:hAnsi="Times New Roman" w:cs="Times New Roman"/>
        </w:rPr>
        <w:t>Dugale</w:t>
      </w:r>
      <w:proofErr w:type="spellEnd"/>
      <w:r w:rsidR="005932F1" w:rsidRPr="00323C41">
        <w:rPr>
          <w:rFonts w:ascii="Times New Roman" w:hAnsi="Times New Roman" w:cs="Times New Roman"/>
        </w:rPr>
        <w:t xml:space="preserve"> and Mark Simpson (eds), </w:t>
      </w:r>
      <w:r w:rsidR="005932F1" w:rsidRPr="00323C41">
        <w:rPr>
          <w:rFonts w:ascii="Times New Roman" w:hAnsi="Times New Roman" w:cs="Times New Roman"/>
          <w:i/>
        </w:rPr>
        <w:t>Clerk and Lindsell on Torts</w:t>
      </w:r>
      <w:r w:rsidR="005932F1" w:rsidRPr="00323C41">
        <w:rPr>
          <w:rFonts w:ascii="Times New Roman" w:hAnsi="Times New Roman" w:cs="Times New Roman"/>
        </w:rPr>
        <w:t xml:space="preserve"> (22</w:t>
      </w:r>
      <w:r w:rsidR="005932F1" w:rsidRPr="00323C41">
        <w:rPr>
          <w:rFonts w:ascii="Times New Roman" w:hAnsi="Times New Roman" w:cs="Times New Roman"/>
          <w:vertAlign w:val="superscript"/>
        </w:rPr>
        <w:t>nd</w:t>
      </w:r>
      <w:r w:rsidR="005932F1" w:rsidRPr="00323C41">
        <w:rPr>
          <w:rFonts w:ascii="Times New Roman" w:hAnsi="Times New Roman" w:cs="Times New Roman"/>
        </w:rPr>
        <w:t xml:space="preserve"> Edition, Sweet &amp; Maxwell 2017), para 8-04.</w:t>
      </w:r>
    </w:p>
  </w:footnote>
  <w:footnote w:id="8">
    <w:p w14:paraId="427ED26E" w14:textId="20AE7945" w:rsidR="00F247EA" w:rsidRPr="00323C41" w:rsidRDefault="00F247EA"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003F5DEA" w:rsidRPr="00323C41">
        <w:rPr>
          <w:rFonts w:ascii="Times New Roman" w:hAnsi="Times New Roman" w:cs="Times New Roman"/>
        </w:rPr>
        <w:t xml:space="preserve">Richard Burnett-Hall, </w:t>
      </w:r>
      <w:r w:rsidRPr="00323C41">
        <w:rPr>
          <w:rFonts w:ascii="Times New Roman" w:hAnsi="Times New Roman" w:cs="Times New Roman"/>
          <w:i/>
        </w:rPr>
        <w:t>Burnett-Hall on Environmental Law</w:t>
      </w:r>
      <w:r w:rsidR="003F5DEA" w:rsidRPr="00323C41">
        <w:rPr>
          <w:rFonts w:ascii="Times New Roman" w:hAnsi="Times New Roman" w:cs="Times New Roman"/>
        </w:rPr>
        <w:t xml:space="preserve"> (3</w:t>
      </w:r>
      <w:r w:rsidR="003F5DEA" w:rsidRPr="00323C41">
        <w:rPr>
          <w:rFonts w:ascii="Times New Roman" w:hAnsi="Times New Roman" w:cs="Times New Roman"/>
          <w:vertAlign w:val="superscript"/>
        </w:rPr>
        <w:t>rd</w:t>
      </w:r>
      <w:r w:rsidR="003F5DEA" w:rsidRPr="00323C41">
        <w:rPr>
          <w:rFonts w:ascii="Times New Roman" w:hAnsi="Times New Roman" w:cs="Times New Roman"/>
        </w:rPr>
        <w:t xml:space="preserve"> Edition, Sweet &amp; Maxwell, 2012)</w:t>
      </w:r>
      <w:r w:rsidRPr="00323C41">
        <w:rPr>
          <w:rFonts w:ascii="Times New Roman" w:hAnsi="Times New Roman" w:cs="Times New Roman"/>
        </w:rPr>
        <w:t>, para 6-094</w:t>
      </w:r>
      <w:r w:rsidR="003F5DEA" w:rsidRPr="00323C41">
        <w:rPr>
          <w:rFonts w:ascii="Times New Roman" w:hAnsi="Times New Roman" w:cs="Times New Roman"/>
        </w:rPr>
        <w:t>.</w:t>
      </w:r>
    </w:p>
  </w:footnote>
  <w:footnote w:id="9">
    <w:p w14:paraId="165B953D" w14:textId="3535A0EF" w:rsidR="00F247EA" w:rsidRPr="00323C41" w:rsidRDefault="00F247EA"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proofErr w:type="spellStart"/>
      <w:r w:rsidRPr="00323C41">
        <w:rPr>
          <w:rFonts w:ascii="Times New Roman" w:eastAsia="Times New Roman" w:hAnsi="Times New Roman" w:cs="Times New Roman"/>
          <w:iCs/>
        </w:rPr>
        <w:t>Kaminskaitė</w:t>
      </w:r>
      <w:proofErr w:type="spellEnd"/>
      <w:r w:rsidRPr="00323C41">
        <w:rPr>
          <w:rFonts w:ascii="Times New Roman" w:eastAsia="Times New Roman" w:hAnsi="Times New Roman" w:cs="Times New Roman"/>
        </w:rPr>
        <w:t>-</w:t>
      </w:r>
      <w:r w:rsidRPr="00323C41">
        <w:rPr>
          <w:rFonts w:ascii="Times New Roman" w:eastAsia="Times New Roman" w:hAnsi="Times New Roman" w:cs="Times New Roman"/>
          <w:iCs/>
        </w:rPr>
        <w:t xml:space="preserve">Salters, </w:t>
      </w:r>
      <w:r w:rsidRPr="00323C41">
        <w:rPr>
          <w:rFonts w:ascii="Times New Roman" w:eastAsia="Times New Roman" w:hAnsi="Times New Roman" w:cs="Times New Roman"/>
          <w:i/>
          <w:iCs/>
        </w:rPr>
        <w:t>Constructing a Private Climate Change Lawsuit</w:t>
      </w:r>
      <w:r w:rsidRPr="00323C41">
        <w:rPr>
          <w:rFonts w:ascii="Times New Roman" w:eastAsia="Times New Roman" w:hAnsi="Times New Roman" w:cs="Times New Roman"/>
          <w:iCs/>
        </w:rPr>
        <w:t>, p. 143.</w:t>
      </w:r>
    </w:p>
  </w:footnote>
  <w:footnote w:id="10">
    <w:p w14:paraId="65CAFCFA" w14:textId="65102402" w:rsidR="001952B8" w:rsidRPr="00323C41" w:rsidRDefault="001952B8"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As advocated in Hare, ‘Blue Jeans, Chewing Gum and Climate Change Litigation’, p. 85.</w:t>
      </w:r>
    </w:p>
  </w:footnote>
  <w:footnote w:id="11">
    <w:p w14:paraId="1DA7BE1B" w14:textId="23DC6119" w:rsidR="00F247EA" w:rsidRPr="00323C41" w:rsidRDefault="00F247EA"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00527594" w:rsidRPr="00323C41">
        <w:rPr>
          <w:rFonts w:ascii="Times New Roman" w:hAnsi="Times New Roman" w:cs="Times New Roman"/>
        </w:rPr>
        <w:t xml:space="preserve">Silke Goldberg and Richard Lord, ‘England’ in Richard Lord, Silk Goldberg, Lavanya </w:t>
      </w:r>
      <w:proofErr w:type="spellStart"/>
      <w:r w:rsidR="00527594" w:rsidRPr="00323C41">
        <w:rPr>
          <w:rFonts w:ascii="Times New Roman" w:hAnsi="Times New Roman" w:cs="Times New Roman"/>
        </w:rPr>
        <w:t>Rajamani</w:t>
      </w:r>
      <w:proofErr w:type="spellEnd"/>
      <w:r w:rsidR="00527594" w:rsidRPr="00323C41">
        <w:rPr>
          <w:rFonts w:ascii="Times New Roman" w:hAnsi="Times New Roman" w:cs="Times New Roman"/>
        </w:rPr>
        <w:t xml:space="preserve"> and Jutta </w:t>
      </w:r>
      <w:proofErr w:type="spellStart"/>
      <w:r w:rsidR="00527594" w:rsidRPr="00323C41">
        <w:rPr>
          <w:rStyle w:val="author-name"/>
          <w:rFonts w:ascii="Times New Roman" w:hAnsi="Times New Roman" w:cs="Times New Roman"/>
        </w:rPr>
        <w:t>Brunnée</w:t>
      </w:r>
      <w:proofErr w:type="spellEnd"/>
      <w:r w:rsidR="00527594" w:rsidRPr="00323C41">
        <w:rPr>
          <w:rStyle w:val="author-name"/>
          <w:rFonts w:ascii="Times New Roman" w:hAnsi="Times New Roman" w:cs="Times New Roman"/>
        </w:rPr>
        <w:t xml:space="preserve"> (eds)</w:t>
      </w:r>
      <w:r w:rsidR="00527594" w:rsidRPr="00323C41">
        <w:rPr>
          <w:rFonts w:ascii="Times New Roman" w:hAnsi="Times New Roman" w:cs="Times New Roman"/>
        </w:rPr>
        <w:t xml:space="preserve">, </w:t>
      </w:r>
      <w:r w:rsidR="00527594" w:rsidRPr="00323C41">
        <w:rPr>
          <w:rFonts w:ascii="Times New Roman" w:hAnsi="Times New Roman" w:cs="Times New Roman"/>
          <w:i/>
        </w:rPr>
        <w:t>Climate Change Liability: Transnational Law and Practice</w:t>
      </w:r>
      <w:r w:rsidR="00527594" w:rsidRPr="00323C41">
        <w:rPr>
          <w:rFonts w:ascii="Times New Roman" w:hAnsi="Times New Roman" w:cs="Times New Roman"/>
        </w:rPr>
        <w:t xml:space="preserve"> (Cambridge: Cambridge University Press, 2012)</w:t>
      </w:r>
      <w:r w:rsidRPr="00323C41">
        <w:rPr>
          <w:rFonts w:ascii="Times New Roman" w:hAnsi="Times New Roman" w:cs="Times New Roman"/>
        </w:rPr>
        <w:t>, p. 462.</w:t>
      </w:r>
    </w:p>
  </w:footnote>
  <w:footnote w:id="12">
    <w:p w14:paraId="45FF91A2" w14:textId="705F4F0D" w:rsidR="00051664" w:rsidRPr="00323C41" w:rsidRDefault="00051664"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proofErr w:type="spellStart"/>
      <w:r w:rsidRPr="00323C41">
        <w:rPr>
          <w:rFonts w:ascii="Times New Roman" w:eastAsia="Times New Roman" w:hAnsi="Times New Roman" w:cs="Times New Roman"/>
          <w:iCs/>
        </w:rPr>
        <w:t>Kaminskaitė</w:t>
      </w:r>
      <w:proofErr w:type="spellEnd"/>
      <w:r w:rsidRPr="00323C41">
        <w:rPr>
          <w:rFonts w:ascii="Times New Roman" w:eastAsia="Times New Roman" w:hAnsi="Times New Roman" w:cs="Times New Roman"/>
        </w:rPr>
        <w:t>-</w:t>
      </w:r>
      <w:r w:rsidRPr="00323C41">
        <w:rPr>
          <w:rFonts w:ascii="Times New Roman" w:eastAsia="Times New Roman" w:hAnsi="Times New Roman" w:cs="Times New Roman"/>
          <w:iCs/>
        </w:rPr>
        <w:t xml:space="preserve">Salters, </w:t>
      </w:r>
      <w:r w:rsidRPr="00323C41">
        <w:rPr>
          <w:rFonts w:ascii="Times New Roman" w:eastAsia="Times New Roman" w:hAnsi="Times New Roman" w:cs="Times New Roman"/>
          <w:i/>
          <w:iCs/>
        </w:rPr>
        <w:t>Constructing a Private Climate Change Lawsuit</w:t>
      </w:r>
      <w:r w:rsidRPr="00323C41">
        <w:rPr>
          <w:rFonts w:ascii="Times New Roman" w:eastAsia="Times New Roman" w:hAnsi="Times New Roman" w:cs="Times New Roman"/>
          <w:iCs/>
        </w:rPr>
        <w:t>, p. 143.</w:t>
      </w:r>
    </w:p>
  </w:footnote>
  <w:footnote w:id="13">
    <w:p w14:paraId="7A9C3AAC" w14:textId="60370F0A" w:rsidR="0006704C" w:rsidRPr="00323C41" w:rsidRDefault="0006704C"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00B94B49" w:rsidRPr="00323C41">
        <w:rPr>
          <w:rFonts w:ascii="Times New Roman" w:hAnsi="Times New Roman" w:cs="Times New Roman"/>
        </w:rPr>
        <w:t xml:space="preserve">James Burton, Stephen </w:t>
      </w:r>
      <w:proofErr w:type="spellStart"/>
      <w:r w:rsidR="00B94B49" w:rsidRPr="00323C41">
        <w:rPr>
          <w:rFonts w:ascii="Times New Roman" w:hAnsi="Times New Roman" w:cs="Times New Roman"/>
        </w:rPr>
        <w:t>Tromans</w:t>
      </w:r>
      <w:proofErr w:type="spellEnd"/>
      <w:r w:rsidR="00B94B49" w:rsidRPr="00323C41">
        <w:rPr>
          <w:rFonts w:ascii="Times New Roman" w:hAnsi="Times New Roman" w:cs="Times New Roman"/>
        </w:rPr>
        <w:t xml:space="preserve"> and Martin Edwards, ‘Climate Change: What Chance A Damages Action in Tort?’, </w:t>
      </w:r>
      <w:r w:rsidR="00B94B49" w:rsidRPr="00323C41">
        <w:rPr>
          <w:rFonts w:ascii="Times New Roman" w:hAnsi="Times New Roman" w:cs="Times New Roman"/>
          <w:i/>
        </w:rPr>
        <w:t>E-Law</w:t>
      </w:r>
      <w:r w:rsidR="00B94B49" w:rsidRPr="00323C41">
        <w:rPr>
          <w:rFonts w:ascii="Times New Roman" w:hAnsi="Times New Roman" w:cs="Times New Roman"/>
        </w:rPr>
        <w:t xml:space="preserve">, </w:t>
      </w:r>
      <w:proofErr w:type="spellStart"/>
      <w:r w:rsidR="00B94B49" w:rsidRPr="00323C41">
        <w:rPr>
          <w:rFonts w:ascii="Times New Roman" w:hAnsi="Times New Roman" w:cs="Times New Roman"/>
        </w:rPr>
        <w:t>iss</w:t>
      </w:r>
      <w:proofErr w:type="spellEnd"/>
      <w:r w:rsidR="00B94B49" w:rsidRPr="00323C41">
        <w:rPr>
          <w:rFonts w:ascii="Times New Roman" w:hAnsi="Times New Roman" w:cs="Times New Roman"/>
        </w:rPr>
        <w:t>. 55 (Jan 2010)</w:t>
      </w:r>
      <w:r w:rsidRPr="00323C41">
        <w:rPr>
          <w:rFonts w:ascii="Times New Roman" w:hAnsi="Times New Roman" w:cs="Times New Roman"/>
        </w:rPr>
        <w:t>, p. 24.</w:t>
      </w:r>
    </w:p>
  </w:footnote>
  <w:footnote w:id="14">
    <w:p w14:paraId="636EE383" w14:textId="0B5879C9" w:rsidR="000370BE" w:rsidRPr="00323C41" w:rsidRDefault="000370BE"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proofErr w:type="spellStart"/>
      <w:r w:rsidRPr="00323C41">
        <w:rPr>
          <w:rFonts w:ascii="Times New Roman" w:eastAsia="Times New Roman" w:hAnsi="Times New Roman" w:cs="Times New Roman"/>
          <w:iCs/>
        </w:rPr>
        <w:t>Kaminskaitė</w:t>
      </w:r>
      <w:proofErr w:type="spellEnd"/>
      <w:r w:rsidRPr="00323C41">
        <w:rPr>
          <w:rFonts w:ascii="Times New Roman" w:eastAsia="Times New Roman" w:hAnsi="Times New Roman" w:cs="Times New Roman"/>
        </w:rPr>
        <w:t>-</w:t>
      </w:r>
      <w:r w:rsidRPr="00323C41">
        <w:rPr>
          <w:rFonts w:ascii="Times New Roman" w:eastAsia="Times New Roman" w:hAnsi="Times New Roman" w:cs="Times New Roman"/>
          <w:iCs/>
        </w:rPr>
        <w:t xml:space="preserve">Salters, </w:t>
      </w:r>
      <w:r w:rsidRPr="00323C41">
        <w:rPr>
          <w:rFonts w:ascii="Times New Roman" w:eastAsia="Times New Roman" w:hAnsi="Times New Roman" w:cs="Times New Roman"/>
          <w:i/>
          <w:iCs/>
        </w:rPr>
        <w:t>Constructing a Private Climate Change Lawsuit</w:t>
      </w:r>
      <w:r w:rsidRPr="00323C41">
        <w:rPr>
          <w:rFonts w:ascii="Times New Roman" w:eastAsia="Times New Roman" w:hAnsi="Times New Roman" w:cs="Times New Roman"/>
          <w:iCs/>
        </w:rPr>
        <w:t>, p. 95.</w:t>
      </w:r>
    </w:p>
  </w:footnote>
  <w:footnote w:id="15">
    <w:p w14:paraId="69F7C8E9" w14:textId="3333BD17" w:rsidR="000370BE" w:rsidRPr="00323C41" w:rsidRDefault="000370BE"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Burton, </w:t>
      </w:r>
      <w:proofErr w:type="spellStart"/>
      <w:r w:rsidRPr="00323C41">
        <w:rPr>
          <w:rFonts w:ascii="Times New Roman" w:hAnsi="Times New Roman" w:cs="Times New Roman"/>
        </w:rPr>
        <w:t>Tromans</w:t>
      </w:r>
      <w:proofErr w:type="spellEnd"/>
      <w:r w:rsidRPr="00323C41">
        <w:rPr>
          <w:rFonts w:ascii="Times New Roman" w:hAnsi="Times New Roman" w:cs="Times New Roman"/>
        </w:rPr>
        <w:t xml:space="preserve"> and Edwards, ‘Climate Change’, p. 25.</w:t>
      </w:r>
    </w:p>
  </w:footnote>
  <w:footnote w:id="16">
    <w:p w14:paraId="39B300D6" w14:textId="5C44BB6E" w:rsidR="000A7EA9" w:rsidRPr="00323C41" w:rsidRDefault="000A7EA9"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For instance, see </w:t>
      </w:r>
      <w:proofErr w:type="spellStart"/>
      <w:r w:rsidRPr="00323C41">
        <w:rPr>
          <w:rFonts w:ascii="Times New Roman" w:eastAsia="Times New Roman" w:hAnsi="Times New Roman" w:cs="Times New Roman"/>
          <w:iCs/>
        </w:rPr>
        <w:t>Kaminskaitė</w:t>
      </w:r>
      <w:proofErr w:type="spellEnd"/>
      <w:r w:rsidRPr="00323C41">
        <w:rPr>
          <w:rFonts w:ascii="Times New Roman" w:eastAsia="Times New Roman" w:hAnsi="Times New Roman" w:cs="Times New Roman"/>
        </w:rPr>
        <w:t>-</w:t>
      </w:r>
      <w:r w:rsidRPr="00323C41">
        <w:rPr>
          <w:rFonts w:ascii="Times New Roman" w:eastAsia="Times New Roman" w:hAnsi="Times New Roman" w:cs="Times New Roman"/>
          <w:iCs/>
        </w:rPr>
        <w:t xml:space="preserve">Salters, </w:t>
      </w:r>
      <w:r w:rsidRPr="00323C41">
        <w:rPr>
          <w:rFonts w:ascii="Times New Roman" w:eastAsia="Times New Roman" w:hAnsi="Times New Roman" w:cs="Times New Roman"/>
          <w:i/>
          <w:iCs/>
        </w:rPr>
        <w:t>Constructing a Private Climate Change Lawsuit</w:t>
      </w:r>
      <w:r w:rsidRPr="00323C41">
        <w:rPr>
          <w:rFonts w:ascii="Times New Roman" w:eastAsia="Times New Roman" w:hAnsi="Times New Roman" w:cs="Times New Roman"/>
          <w:iCs/>
        </w:rPr>
        <w:t>.</w:t>
      </w:r>
    </w:p>
  </w:footnote>
  <w:footnote w:id="17">
    <w:p w14:paraId="2DAAAE6F" w14:textId="6FBD554C" w:rsidR="000A7EA9" w:rsidRPr="00323C41" w:rsidRDefault="000A7EA9"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E.g., Goldberg and Lord, ‘England’.</w:t>
      </w:r>
    </w:p>
  </w:footnote>
  <w:footnote w:id="18">
    <w:p w14:paraId="10F7BD6B" w14:textId="6F50FB71" w:rsidR="009955EE" w:rsidRPr="00323C41" w:rsidRDefault="009955EE"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Burton, </w:t>
      </w:r>
      <w:proofErr w:type="spellStart"/>
      <w:r w:rsidRPr="00323C41">
        <w:rPr>
          <w:rFonts w:ascii="Times New Roman" w:hAnsi="Times New Roman" w:cs="Times New Roman"/>
        </w:rPr>
        <w:t>Tromans</w:t>
      </w:r>
      <w:proofErr w:type="spellEnd"/>
      <w:r w:rsidRPr="00323C41">
        <w:rPr>
          <w:rFonts w:ascii="Times New Roman" w:hAnsi="Times New Roman" w:cs="Times New Roman"/>
        </w:rPr>
        <w:t xml:space="preserve"> and Edwards, ‘Climate Change’, p. 25</w:t>
      </w:r>
      <w:r w:rsidR="00935978" w:rsidRPr="00323C41">
        <w:rPr>
          <w:rFonts w:ascii="Times New Roman" w:hAnsi="Times New Roman" w:cs="Times New Roman"/>
        </w:rPr>
        <w:t>. Burton et al nevertheless argue that CCL will falter by being unable to satisfy legal notions of causation.</w:t>
      </w:r>
    </w:p>
  </w:footnote>
  <w:footnote w:id="19">
    <w:p w14:paraId="66D1BBEB" w14:textId="2B4ED94F" w:rsidR="008E1CD7" w:rsidRPr="00323C41" w:rsidRDefault="008E1CD7"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005C746F" w:rsidRPr="00323C41">
        <w:rPr>
          <w:rFonts w:ascii="Times New Roman" w:hAnsi="Times New Roman" w:cs="Times New Roman"/>
        </w:rPr>
        <w:t xml:space="preserve">C.f., </w:t>
      </w:r>
      <w:r w:rsidRPr="00323C41">
        <w:rPr>
          <w:rFonts w:ascii="Times New Roman" w:hAnsi="Times New Roman" w:cs="Times New Roman"/>
        </w:rPr>
        <w:t xml:space="preserve">R. G. Lee, ‘From </w:t>
      </w:r>
      <w:proofErr w:type="gramStart"/>
      <w:r w:rsidRPr="00323C41">
        <w:rPr>
          <w:rFonts w:ascii="Times New Roman" w:hAnsi="Times New Roman" w:cs="Times New Roman"/>
        </w:rPr>
        <w:t>The</w:t>
      </w:r>
      <w:proofErr w:type="gramEnd"/>
      <w:r w:rsidRPr="00323C41">
        <w:rPr>
          <w:rFonts w:ascii="Times New Roman" w:hAnsi="Times New Roman" w:cs="Times New Roman"/>
        </w:rPr>
        <w:t xml:space="preserve"> Individual To The Environmental: Tort Law In Turbulence’ in Lowry and Edmunds (eds), </w:t>
      </w:r>
      <w:r w:rsidRPr="00323C41">
        <w:rPr>
          <w:rFonts w:ascii="Times New Roman" w:hAnsi="Times New Roman" w:cs="Times New Roman"/>
          <w:i/>
        </w:rPr>
        <w:t>Environmental Protection and the Common Law</w:t>
      </w:r>
      <w:r w:rsidRPr="00323C41">
        <w:rPr>
          <w:rFonts w:ascii="Times New Roman" w:hAnsi="Times New Roman" w:cs="Times New Roman"/>
        </w:rPr>
        <w:t>, pp. 77-90.</w:t>
      </w:r>
    </w:p>
  </w:footnote>
  <w:footnote w:id="20">
    <w:p w14:paraId="23FF9683" w14:textId="404C6CD2" w:rsidR="004C477D" w:rsidRPr="00323C41" w:rsidRDefault="004C477D"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00F9571C" w:rsidRPr="00323C41">
        <w:rPr>
          <w:rFonts w:ascii="Times New Roman" w:hAnsi="Times New Roman" w:cs="Times New Roman"/>
        </w:rPr>
        <w:t>Robert Blackett, ‘Ten Inconvenient Truths About Climate Change Tort Claims</w:t>
      </w:r>
      <w:r w:rsidR="00DD17B3" w:rsidRPr="00323C41">
        <w:rPr>
          <w:rFonts w:ascii="Times New Roman" w:hAnsi="Times New Roman" w:cs="Times New Roman"/>
        </w:rPr>
        <w:t xml:space="preserve">’, </w:t>
      </w:r>
      <w:proofErr w:type="spellStart"/>
      <w:r w:rsidR="00DD17B3" w:rsidRPr="00323C41">
        <w:rPr>
          <w:rFonts w:ascii="Times New Roman" w:hAnsi="Times New Roman" w:cs="Times New Roman"/>
        </w:rPr>
        <w:t>Hunton</w:t>
      </w:r>
      <w:proofErr w:type="spellEnd"/>
      <w:r w:rsidR="00DD17B3" w:rsidRPr="00323C41">
        <w:rPr>
          <w:rFonts w:ascii="Times New Roman" w:hAnsi="Times New Roman" w:cs="Times New Roman"/>
        </w:rPr>
        <w:t xml:space="preserve"> Andrews </w:t>
      </w:r>
      <w:proofErr w:type="spellStart"/>
      <w:r w:rsidR="00DD17B3" w:rsidRPr="00323C41">
        <w:rPr>
          <w:rFonts w:ascii="Times New Roman" w:hAnsi="Times New Roman" w:cs="Times New Roman"/>
        </w:rPr>
        <w:t>Kurth</w:t>
      </w:r>
      <w:proofErr w:type="spellEnd"/>
      <w:r w:rsidR="00DD17B3" w:rsidRPr="00323C41">
        <w:rPr>
          <w:rFonts w:ascii="Times New Roman" w:hAnsi="Times New Roman" w:cs="Times New Roman"/>
        </w:rPr>
        <w:t xml:space="preserve"> LLP Blog, 20 June 2018 &lt;available via: </w:t>
      </w:r>
      <w:hyperlink r:id="rId3" w:history="1">
        <w:r w:rsidR="00DD17B3" w:rsidRPr="00323C41">
          <w:rPr>
            <w:rStyle w:val="Hyperlink"/>
            <w:rFonts w:ascii="Times New Roman" w:hAnsi="Times New Roman" w:cs="Times New Roman"/>
          </w:rPr>
          <w:t>https://www.lexology.com/library/detail.aspx?g=9f4f778b-efe4-4f99-80e2-55224832f5d9#</w:t>
        </w:r>
      </w:hyperlink>
      <w:r w:rsidR="00DD17B3" w:rsidRPr="00323C41">
        <w:rPr>
          <w:rFonts w:ascii="Times New Roman" w:hAnsi="Times New Roman" w:cs="Times New Roman"/>
        </w:rPr>
        <w:t>, accessed 17 March 2019&gt;.</w:t>
      </w:r>
    </w:p>
  </w:footnote>
  <w:footnote w:id="21">
    <w:p w14:paraId="23B0B0BA" w14:textId="51C2F7C4" w:rsidR="00AA18C5" w:rsidRPr="00323C41" w:rsidRDefault="00AA18C5"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[1994] 2 AC 264.</w:t>
      </w:r>
    </w:p>
  </w:footnote>
  <w:footnote w:id="22">
    <w:p w14:paraId="25FA5389" w14:textId="686932E9" w:rsidR="00F863A2" w:rsidRPr="00323C41" w:rsidRDefault="00F863A2"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Pr="00323C41">
        <w:rPr>
          <w:rFonts w:ascii="Times New Roman" w:hAnsi="Times New Roman" w:cs="Times New Roman"/>
          <w:i/>
        </w:rPr>
        <w:t>Ibid</w:t>
      </w:r>
      <w:r w:rsidRPr="00323C41">
        <w:rPr>
          <w:rFonts w:ascii="Times New Roman" w:hAnsi="Times New Roman" w:cs="Times New Roman"/>
        </w:rPr>
        <w:t>., at p. 305.</w:t>
      </w:r>
    </w:p>
  </w:footnote>
  <w:footnote w:id="23">
    <w:p w14:paraId="45DEA79F" w14:textId="77777777" w:rsidR="000C3DDA" w:rsidRPr="00323C41" w:rsidRDefault="000C3DDA"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proofErr w:type="spellStart"/>
      <w:r w:rsidRPr="00323C41">
        <w:rPr>
          <w:rFonts w:ascii="Times New Roman" w:eastAsia="Times New Roman" w:hAnsi="Times New Roman" w:cs="Times New Roman"/>
          <w:iCs/>
        </w:rPr>
        <w:t>Kaminskaitė</w:t>
      </w:r>
      <w:proofErr w:type="spellEnd"/>
      <w:r w:rsidRPr="00323C41">
        <w:rPr>
          <w:rFonts w:ascii="Times New Roman" w:eastAsia="Times New Roman" w:hAnsi="Times New Roman" w:cs="Times New Roman"/>
        </w:rPr>
        <w:t>-</w:t>
      </w:r>
      <w:r w:rsidRPr="00323C41">
        <w:rPr>
          <w:rFonts w:ascii="Times New Roman" w:eastAsia="Times New Roman" w:hAnsi="Times New Roman" w:cs="Times New Roman"/>
          <w:iCs/>
        </w:rPr>
        <w:t xml:space="preserve">Salters, </w:t>
      </w:r>
      <w:r w:rsidRPr="00323C41">
        <w:rPr>
          <w:rFonts w:ascii="Times New Roman" w:eastAsia="Times New Roman" w:hAnsi="Times New Roman" w:cs="Times New Roman"/>
          <w:i/>
          <w:iCs/>
        </w:rPr>
        <w:t>Constructing a Private Climate Change Lawsuit</w:t>
      </w:r>
      <w:r w:rsidRPr="00323C41">
        <w:rPr>
          <w:rFonts w:ascii="Times New Roman" w:eastAsia="Times New Roman" w:hAnsi="Times New Roman" w:cs="Times New Roman"/>
          <w:iCs/>
        </w:rPr>
        <w:t>, pp. 154-161.</w:t>
      </w:r>
    </w:p>
  </w:footnote>
  <w:footnote w:id="24">
    <w:p w14:paraId="43260694" w14:textId="5A0FA841" w:rsidR="004D28A9" w:rsidRPr="00323C41" w:rsidRDefault="004D28A9"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00F9571C" w:rsidRPr="00323C41">
        <w:rPr>
          <w:rFonts w:ascii="Times New Roman" w:hAnsi="Times New Roman" w:cs="Times New Roman"/>
        </w:rPr>
        <w:t xml:space="preserve">Jonny Buckley, ‘Climate Change Litigation – Too Hot To Handle’, Leigh Day Blog, 17 October 2017 &lt;available via: </w:t>
      </w:r>
      <w:hyperlink r:id="rId4" w:history="1">
        <w:r w:rsidR="00F9571C" w:rsidRPr="00323C41">
          <w:rPr>
            <w:rStyle w:val="Hyperlink"/>
            <w:rFonts w:ascii="Times New Roman" w:hAnsi="Times New Roman" w:cs="Times New Roman"/>
          </w:rPr>
          <w:t>https://www.leighday.co.uk/Blog/October-2017/Climate-change-litigation-too-hot-to-handle</w:t>
        </w:r>
      </w:hyperlink>
      <w:r w:rsidR="00F9571C" w:rsidRPr="00323C41">
        <w:rPr>
          <w:rFonts w:ascii="Times New Roman" w:hAnsi="Times New Roman" w:cs="Times New Roman"/>
        </w:rPr>
        <w:t>, accessed 17 March 2019&gt;</w:t>
      </w:r>
    </w:p>
  </w:footnote>
  <w:footnote w:id="25">
    <w:p w14:paraId="17B604F9" w14:textId="77777777" w:rsidR="00B81478" w:rsidRPr="00323C41" w:rsidRDefault="00B81478" w:rsidP="00B81478">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For an overview, see Jones, </w:t>
      </w:r>
      <w:proofErr w:type="spellStart"/>
      <w:r w:rsidRPr="00323C41">
        <w:rPr>
          <w:rFonts w:ascii="Times New Roman" w:hAnsi="Times New Roman" w:cs="Times New Roman"/>
        </w:rPr>
        <w:t>Dugale</w:t>
      </w:r>
      <w:proofErr w:type="spellEnd"/>
      <w:r w:rsidRPr="00323C41">
        <w:rPr>
          <w:rFonts w:ascii="Times New Roman" w:hAnsi="Times New Roman" w:cs="Times New Roman"/>
        </w:rPr>
        <w:t xml:space="preserve"> and Simpson, </w:t>
      </w:r>
      <w:r w:rsidRPr="00323C41">
        <w:rPr>
          <w:rFonts w:ascii="Times New Roman" w:hAnsi="Times New Roman" w:cs="Times New Roman"/>
          <w:i/>
        </w:rPr>
        <w:t>Clerk and Lindsell on Torts</w:t>
      </w:r>
      <w:r w:rsidRPr="00323C41">
        <w:rPr>
          <w:rFonts w:ascii="Times New Roman" w:hAnsi="Times New Roman" w:cs="Times New Roman"/>
        </w:rPr>
        <w:t>, para 2-32 to 2-34.</w:t>
      </w:r>
    </w:p>
  </w:footnote>
  <w:footnote w:id="26">
    <w:p w14:paraId="2FA43150" w14:textId="29D87FC3" w:rsidR="00C61527" w:rsidRPr="00323C41" w:rsidRDefault="00C61527"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Pr="00323C41">
        <w:rPr>
          <w:rFonts w:ascii="Times New Roman" w:hAnsi="Times New Roman" w:cs="Times New Roman"/>
          <w:i/>
        </w:rPr>
        <w:t xml:space="preserve">Fairchild v </w:t>
      </w:r>
      <w:proofErr w:type="spellStart"/>
      <w:r w:rsidRPr="00323C41">
        <w:rPr>
          <w:rFonts w:ascii="Times New Roman" w:hAnsi="Times New Roman" w:cs="Times New Roman"/>
          <w:i/>
        </w:rPr>
        <w:t>Glenhaven</w:t>
      </w:r>
      <w:proofErr w:type="spellEnd"/>
      <w:r w:rsidRPr="00323C41">
        <w:rPr>
          <w:rFonts w:ascii="Times New Roman" w:hAnsi="Times New Roman" w:cs="Times New Roman"/>
        </w:rPr>
        <w:t xml:space="preserve"> [2003] 1 AC 32.</w:t>
      </w:r>
    </w:p>
  </w:footnote>
  <w:footnote w:id="27">
    <w:p w14:paraId="77770B58" w14:textId="77777777" w:rsidR="00B34CF2" w:rsidRPr="00323C41" w:rsidRDefault="00B34CF2"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Burton, </w:t>
      </w:r>
      <w:proofErr w:type="spellStart"/>
      <w:r w:rsidRPr="00323C41">
        <w:rPr>
          <w:rFonts w:ascii="Times New Roman" w:hAnsi="Times New Roman" w:cs="Times New Roman"/>
        </w:rPr>
        <w:t>Tromans</w:t>
      </w:r>
      <w:proofErr w:type="spellEnd"/>
      <w:r w:rsidRPr="00323C41">
        <w:rPr>
          <w:rFonts w:ascii="Times New Roman" w:hAnsi="Times New Roman" w:cs="Times New Roman"/>
        </w:rPr>
        <w:t xml:space="preserve"> and Edwards, ‘Climate Change’, p. 26.</w:t>
      </w:r>
    </w:p>
  </w:footnote>
  <w:footnote w:id="28">
    <w:p w14:paraId="1807CB7B" w14:textId="684081F3" w:rsidR="006C536A" w:rsidRPr="00323C41" w:rsidRDefault="006C536A"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Goldberg and Lord, ‘England’, p. 468, </w:t>
      </w:r>
      <w:proofErr w:type="spellStart"/>
      <w:r w:rsidRPr="00323C41">
        <w:rPr>
          <w:rFonts w:ascii="Times New Roman" w:hAnsi="Times New Roman" w:cs="Times New Roman"/>
        </w:rPr>
        <w:t>fn</w:t>
      </w:r>
      <w:proofErr w:type="spellEnd"/>
      <w:r w:rsidRPr="00323C41">
        <w:rPr>
          <w:rFonts w:ascii="Times New Roman" w:hAnsi="Times New Roman" w:cs="Times New Roman"/>
        </w:rPr>
        <w:t xml:space="preserve"> 87.</w:t>
      </w:r>
    </w:p>
  </w:footnote>
  <w:footnote w:id="29">
    <w:p w14:paraId="46AD3DB5" w14:textId="47CB93A2" w:rsidR="000F7EF8" w:rsidRPr="00323C41" w:rsidRDefault="000F7EF8"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On scientific claims to quantify emissions, see Carrington, ‘Can Climate Litigation Save The World?’.</w:t>
      </w:r>
    </w:p>
  </w:footnote>
  <w:footnote w:id="30">
    <w:p w14:paraId="34856DBA" w14:textId="0A9FCF1E" w:rsidR="00986C41" w:rsidRPr="00323C41" w:rsidRDefault="00986C41"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w:t>
      </w:r>
      <w:r w:rsidR="00DD17B3" w:rsidRPr="00323C41">
        <w:rPr>
          <w:rFonts w:ascii="Times New Roman" w:hAnsi="Times New Roman" w:cs="Times New Roman"/>
        </w:rPr>
        <w:t>Blackett, ‘Ten Inconvenient Truths’.</w:t>
      </w:r>
    </w:p>
  </w:footnote>
  <w:footnote w:id="31">
    <w:p w14:paraId="7DCF3AF4" w14:textId="77777777" w:rsidR="00986C41" w:rsidRPr="00323C41" w:rsidRDefault="00986C41"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Goldberg and Lord, ‘England’, p. 470.</w:t>
      </w:r>
    </w:p>
  </w:footnote>
  <w:footnote w:id="32">
    <w:p w14:paraId="64BCD74F" w14:textId="2F4E524C" w:rsidR="006B2540" w:rsidRPr="00323C41" w:rsidRDefault="006B2540" w:rsidP="00323C41">
      <w:pPr>
        <w:pStyle w:val="FootnoteText"/>
        <w:jc w:val="both"/>
        <w:rPr>
          <w:rFonts w:ascii="Times New Roman" w:hAnsi="Times New Roman" w:cs="Times New Roman"/>
        </w:rPr>
      </w:pPr>
      <w:r w:rsidRPr="00323C41">
        <w:rPr>
          <w:rStyle w:val="FootnoteReference"/>
          <w:rFonts w:ascii="Times New Roman" w:hAnsi="Times New Roman" w:cs="Times New Roman"/>
        </w:rPr>
        <w:footnoteRef/>
      </w:r>
      <w:r w:rsidRPr="00323C41">
        <w:rPr>
          <w:rFonts w:ascii="Times New Roman" w:hAnsi="Times New Roman" w:cs="Times New Roman"/>
        </w:rPr>
        <w:t xml:space="preserve"> E.g., </w:t>
      </w:r>
      <w:proofErr w:type="spellStart"/>
      <w:r w:rsidRPr="00323C41">
        <w:rPr>
          <w:rFonts w:ascii="Times New Roman" w:eastAsia="Times New Roman" w:hAnsi="Times New Roman" w:cs="Times New Roman"/>
          <w:iCs/>
        </w:rPr>
        <w:t>Kaminskaitė</w:t>
      </w:r>
      <w:proofErr w:type="spellEnd"/>
      <w:r w:rsidRPr="00323C41">
        <w:rPr>
          <w:rFonts w:ascii="Times New Roman" w:eastAsia="Times New Roman" w:hAnsi="Times New Roman" w:cs="Times New Roman"/>
        </w:rPr>
        <w:t>-</w:t>
      </w:r>
      <w:r w:rsidRPr="00323C41">
        <w:rPr>
          <w:rFonts w:ascii="Times New Roman" w:eastAsia="Times New Roman" w:hAnsi="Times New Roman" w:cs="Times New Roman"/>
          <w:iCs/>
        </w:rPr>
        <w:t xml:space="preserve">Salters, </w:t>
      </w:r>
      <w:r w:rsidRPr="00323C41">
        <w:rPr>
          <w:rFonts w:ascii="Times New Roman" w:eastAsia="Times New Roman" w:hAnsi="Times New Roman" w:cs="Times New Roman"/>
          <w:i/>
          <w:iCs/>
        </w:rPr>
        <w:t>Constructing a Private Climate Change Lawsuit</w:t>
      </w:r>
      <w:r w:rsidRPr="00323C41">
        <w:rPr>
          <w:rFonts w:ascii="Times New Roman" w:eastAsia="Times New Roman" w:hAnsi="Times New Roman" w:cs="Times New Roman"/>
          <w:iCs/>
        </w:rPr>
        <w:t>, pp. 174-177.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54"/>
    <w:rsid w:val="000072EC"/>
    <w:rsid w:val="00017AA6"/>
    <w:rsid w:val="00017EE3"/>
    <w:rsid w:val="00021433"/>
    <w:rsid w:val="000276D1"/>
    <w:rsid w:val="000370BE"/>
    <w:rsid w:val="00040960"/>
    <w:rsid w:val="00040C15"/>
    <w:rsid w:val="00043F1B"/>
    <w:rsid w:val="00051664"/>
    <w:rsid w:val="00056137"/>
    <w:rsid w:val="000567D2"/>
    <w:rsid w:val="000632E0"/>
    <w:rsid w:val="0006704C"/>
    <w:rsid w:val="000741A6"/>
    <w:rsid w:val="00082152"/>
    <w:rsid w:val="00082591"/>
    <w:rsid w:val="00086985"/>
    <w:rsid w:val="00087AC6"/>
    <w:rsid w:val="00093B1C"/>
    <w:rsid w:val="000A0DEE"/>
    <w:rsid w:val="000A1300"/>
    <w:rsid w:val="000A7EA9"/>
    <w:rsid w:val="000C3DDA"/>
    <w:rsid w:val="000C6701"/>
    <w:rsid w:val="000E1068"/>
    <w:rsid w:val="000F49BB"/>
    <w:rsid w:val="000F7EF8"/>
    <w:rsid w:val="001002CC"/>
    <w:rsid w:val="00106976"/>
    <w:rsid w:val="00107FFE"/>
    <w:rsid w:val="0011169A"/>
    <w:rsid w:val="00123908"/>
    <w:rsid w:val="00124374"/>
    <w:rsid w:val="00141410"/>
    <w:rsid w:val="00143558"/>
    <w:rsid w:val="00150998"/>
    <w:rsid w:val="00157862"/>
    <w:rsid w:val="00161A0E"/>
    <w:rsid w:val="00167C0E"/>
    <w:rsid w:val="00170EFD"/>
    <w:rsid w:val="0017723F"/>
    <w:rsid w:val="0018179B"/>
    <w:rsid w:val="00181E52"/>
    <w:rsid w:val="001933F8"/>
    <w:rsid w:val="001952B8"/>
    <w:rsid w:val="001A6F40"/>
    <w:rsid w:val="001B01BD"/>
    <w:rsid w:val="001B7E52"/>
    <w:rsid w:val="001C67FB"/>
    <w:rsid w:val="001D2BB0"/>
    <w:rsid w:val="001E69AD"/>
    <w:rsid w:val="001F0329"/>
    <w:rsid w:val="001F3466"/>
    <w:rsid w:val="001F4B71"/>
    <w:rsid w:val="001F7666"/>
    <w:rsid w:val="00203592"/>
    <w:rsid w:val="00206DB5"/>
    <w:rsid w:val="00206EBF"/>
    <w:rsid w:val="00217FE0"/>
    <w:rsid w:val="002247DA"/>
    <w:rsid w:val="00230A8D"/>
    <w:rsid w:val="00231F85"/>
    <w:rsid w:val="002335C3"/>
    <w:rsid w:val="00247B4C"/>
    <w:rsid w:val="00247D66"/>
    <w:rsid w:val="00256036"/>
    <w:rsid w:val="00265E94"/>
    <w:rsid w:val="00270E20"/>
    <w:rsid w:val="002710F0"/>
    <w:rsid w:val="002B30DE"/>
    <w:rsid w:val="002B30F6"/>
    <w:rsid w:val="002B7474"/>
    <w:rsid w:val="002D2E62"/>
    <w:rsid w:val="002E29DD"/>
    <w:rsid w:val="002E4990"/>
    <w:rsid w:val="002E6BD9"/>
    <w:rsid w:val="002E7A1F"/>
    <w:rsid w:val="002F34B1"/>
    <w:rsid w:val="002F7E91"/>
    <w:rsid w:val="0030389F"/>
    <w:rsid w:val="003046CE"/>
    <w:rsid w:val="0031733D"/>
    <w:rsid w:val="0032017A"/>
    <w:rsid w:val="0032020D"/>
    <w:rsid w:val="0032257D"/>
    <w:rsid w:val="00323C41"/>
    <w:rsid w:val="00326586"/>
    <w:rsid w:val="003371A0"/>
    <w:rsid w:val="0035068E"/>
    <w:rsid w:val="00351443"/>
    <w:rsid w:val="003557E8"/>
    <w:rsid w:val="0035631A"/>
    <w:rsid w:val="00357D81"/>
    <w:rsid w:val="00362E3E"/>
    <w:rsid w:val="00363118"/>
    <w:rsid w:val="00373453"/>
    <w:rsid w:val="00384D4C"/>
    <w:rsid w:val="003909AD"/>
    <w:rsid w:val="003B0D41"/>
    <w:rsid w:val="003B37A3"/>
    <w:rsid w:val="003C63AD"/>
    <w:rsid w:val="003D2BBD"/>
    <w:rsid w:val="003D466E"/>
    <w:rsid w:val="003D7554"/>
    <w:rsid w:val="003F024F"/>
    <w:rsid w:val="003F5DEA"/>
    <w:rsid w:val="004002A8"/>
    <w:rsid w:val="00404ACF"/>
    <w:rsid w:val="00407CAD"/>
    <w:rsid w:val="004114F4"/>
    <w:rsid w:val="00420E21"/>
    <w:rsid w:val="00424251"/>
    <w:rsid w:val="00424B54"/>
    <w:rsid w:val="00425AE7"/>
    <w:rsid w:val="00451182"/>
    <w:rsid w:val="00470A85"/>
    <w:rsid w:val="00496757"/>
    <w:rsid w:val="004A1196"/>
    <w:rsid w:val="004A2AE2"/>
    <w:rsid w:val="004A5471"/>
    <w:rsid w:val="004C278A"/>
    <w:rsid w:val="004C41C7"/>
    <w:rsid w:val="004C477D"/>
    <w:rsid w:val="004D28A9"/>
    <w:rsid w:val="004D37F3"/>
    <w:rsid w:val="004D4F0C"/>
    <w:rsid w:val="004E192D"/>
    <w:rsid w:val="004E4CD0"/>
    <w:rsid w:val="004E658E"/>
    <w:rsid w:val="004F0026"/>
    <w:rsid w:val="004F2E8C"/>
    <w:rsid w:val="00511749"/>
    <w:rsid w:val="0052361C"/>
    <w:rsid w:val="00527594"/>
    <w:rsid w:val="00533ECE"/>
    <w:rsid w:val="00541B0D"/>
    <w:rsid w:val="00560A47"/>
    <w:rsid w:val="00573A5A"/>
    <w:rsid w:val="00576E83"/>
    <w:rsid w:val="00577F1A"/>
    <w:rsid w:val="0059132F"/>
    <w:rsid w:val="005932F1"/>
    <w:rsid w:val="00597AF4"/>
    <w:rsid w:val="005A1DF5"/>
    <w:rsid w:val="005A760C"/>
    <w:rsid w:val="005A7EA6"/>
    <w:rsid w:val="005B6B4C"/>
    <w:rsid w:val="005C746F"/>
    <w:rsid w:val="005D5483"/>
    <w:rsid w:val="005D7D5F"/>
    <w:rsid w:val="005F1920"/>
    <w:rsid w:val="00601B94"/>
    <w:rsid w:val="006041F2"/>
    <w:rsid w:val="00610557"/>
    <w:rsid w:val="00626DF3"/>
    <w:rsid w:val="006274F2"/>
    <w:rsid w:val="00631938"/>
    <w:rsid w:val="0063229A"/>
    <w:rsid w:val="00636B9E"/>
    <w:rsid w:val="006406B4"/>
    <w:rsid w:val="00655846"/>
    <w:rsid w:val="0065623B"/>
    <w:rsid w:val="00662E7A"/>
    <w:rsid w:val="0066387E"/>
    <w:rsid w:val="00686437"/>
    <w:rsid w:val="006910F1"/>
    <w:rsid w:val="00695109"/>
    <w:rsid w:val="006A44C3"/>
    <w:rsid w:val="006B2540"/>
    <w:rsid w:val="006B4889"/>
    <w:rsid w:val="006C3464"/>
    <w:rsid w:val="006C536A"/>
    <w:rsid w:val="006C6C32"/>
    <w:rsid w:val="006D1C0E"/>
    <w:rsid w:val="006E4607"/>
    <w:rsid w:val="006E61E6"/>
    <w:rsid w:val="006F4BAE"/>
    <w:rsid w:val="007227E2"/>
    <w:rsid w:val="00726D45"/>
    <w:rsid w:val="007274D1"/>
    <w:rsid w:val="00754B52"/>
    <w:rsid w:val="007561AA"/>
    <w:rsid w:val="00781949"/>
    <w:rsid w:val="0078444F"/>
    <w:rsid w:val="007965A8"/>
    <w:rsid w:val="007A3639"/>
    <w:rsid w:val="007A4942"/>
    <w:rsid w:val="007B09E0"/>
    <w:rsid w:val="007B36E3"/>
    <w:rsid w:val="007B6889"/>
    <w:rsid w:val="007B6D1D"/>
    <w:rsid w:val="007C7066"/>
    <w:rsid w:val="007D5EBF"/>
    <w:rsid w:val="007E384E"/>
    <w:rsid w:val="007F3CCD"/>
    <w:rsid w:val="00802153"/>
    <w:rsid w:val="008037DC"/>
    <w:rsid w:val="008107E8"/>
    <w:rsid w:val="00812914"/>
    <w:rsid w:val="00813C5A"/>
    <w:rsid w:val="00832FD1"/>
    <w:rsid w:val="00837E66"/>
    <w:rsid w:val="008422B1"/>
    <w:rsid w:val="0085212F"/>
    <w:rsid w:val="0087069D"/>
    <w:rsid w:val="00877F8E"/>
    <w:rsid w:val="00881484"/>
    <w:rsid w:val="00891CE8"/>
    <w:rsid w:val="008A05E3"/>
    <w:rsid w:val="008A38AA"/>
    <w:rsid w:val="008B230B"/>
    <w:rsid w:val="008C33D4"/>
    <w:rsid w:val="008D2F47"/>
    <w:rsid w:val="008D7E33"/>
    <w:rsid w:val="008E1CD7"/>
    <w:rsid w:val="008E475D"/>
    <w:rsid w:val="008E5585"/>
    <w:rsid w:val="008F1F6E"/>
    <w:rsid w:val="00910784"/>
    <w:rsid w:val="00926D38"/>
    <w:rsid w:val="00932F34"/>
    <w:rsid w:val="00933411"/>
    <w:rsid w:val="00935978"/>
    <w:rsid w:val="009479F6"/>
    <w:rsid w:val="00952CCA"/>
    <w:rsid w:val="00955638"/>
    <w:rsid w:val="009628F5"/>
    <w:rsid w:val="00972A1E"/>
    <w:rsid w:val="009816E9"/>
    <w:rsid w:val="009868AF"/>
    <w:rsid w:val="00986C41"/>
    <w:rsid w:val="0098753E"/>
    <w:rsid w:val="00993858"/>
    <w:rsid w:val="009955EE"/>
    <w:rsid w:val="009A27D6"/>
    <w:rsid w:val="009A4220"/>
    <w:rsid w:val="009B1E5D"/>
    <w:rsid w:val="009B678B"/>
    <w:rsid w:val="009C0062"/>
    <w:rsid w:val="009C5016"/>
    <w:rsid w:val="009D6AAF"/>
    <w:rsid w:val="009E3F4D"/>
    <w:rsid w:val="009E61FC"/>
    <w:rsid w:val="009E746C"/>
    <w:rsid w:val="009F1FD4"/>
    <w:rsid w:val="009F79AF"/>
    <w:rsid w:val="009F7E86"/>
    <w:rsid w:val="00A04789"/>
    <w:rsid w:val="00A07273"/>
    <w:rsid w:val="00A07D66"/>
    <w:rsid w:val="00A22ADC"/>
    <w:rsid w:val="00A23CBA"/>
    <w:rsid w:val="00A24421"/>
    <w:rsid w:val="00A27322"/>
    <w:rsid w:val="00A40820"/>
    <w:rsid w:val="00A42A69"/>
    <w:rsid w:val="00A452F6"/>
    <w:rsid w:val="00A45ED9"/>
    <w:rsid w:val="00A70C4B"/>
    <w:rsid w:val="00A70E03"/>
    <w:rsid w:val="00A73EDA"/>
    <w:rsid w:val="00A94152"/>
    <w:rsid w:val="00AA18C5"/>
    <w:rsid w:val="00AA3BB5"/>
    <w:rsid w:val="00AA54E7"/>
    <w:rsid w:val="00AA5BED"/>
    <w:rsid w:val="00AA75EF"/>
    <w:rsid w:val="00AB349B"/>
    <w:rsid w:val="00AB5812"/>
    <w:rsid w:val="00AB5A16"/>
    <w:rsid w:val="00AC1D6B"/>
    <w:rsid w:val="00AD5EF4"/>
    <w:rsid w:val="00AD629E"/>
    <w:rsid w:val="00AE3471"/>
    <w:rsid w:val="00AF424F"/>
    <w:rsid w:val="00AF645C"/>
    <w:rsid w:val="00B023F6"/>
    <w:rsid w:val="00B02A27"/>
    <w:rsid w:val="00B152BE"/>
    <w:rsid w:val="00B166DF"/>
    <w:rsid w:val="00B169F0"/>
    <w:rsid w:val="00B2111E"/>
    <w:rsid w:val="00B21741"/>
    <w:rsid w:val="00B22C2B"/>
    <w:rsid w:val="00B2333C"/>
    <w:rsid w:val="00B31FE4"/>
    <w:rsid w:val="00B34CF2"/>
    <w:rsid w:val="00B46676"/>
    <w:rsid w:val="00B569CE"/>
    <w:rsid w:val="00B56B5E"/>
    <w:rsid w:val="00B633E4"/>
    <w:rsid w:val="00B70B8B"/>
    <w:rsid w:val="00B7421E"/>
    <w:rsid w:val="00B7607C"/>
    <w:rsid w:val="00B81478"/>
    <w:rsid w:val="00B81A4E"/>
    <w:rsid w:val="00B9350D"/>
    <w:rsid w:val="00B93C67"/>
    <w:rsid w:val="00B94B49"/>
    <w:rsid w:val="00BA2530"/>
    <w:rsid w:val="00BA7BA9"/>
    <w:rsid w:val="00BB5D39"/>
    <w:rsid w:val="00BB7AAD"/>
    <w:rsid w:val="00BC1F69"/>
    <w:rsid w:val="00BC471F"/>
    <w:rsid w:val="00BC4CFF"/>
    <w:rsid w:val="00BD17B3"/>
    <w:rsid w:val="00BE04CD"/>
    <w:rsid w:val="00BE3CDE"/>
    <w:rsid w:val="00BE5637"/>
    <w:rsid w:val="00BE5BF1"/>
    <w:rsid w:val="00BF2033"/>
    <w:rsid w:val="00C156EA"/>
    <w:rsid w:val="00C243AC"/>
    <w:rsid w:val="00C325C4"/>
    <w:rsid w:val="00C34ABB"/>
    <w:rsid w:val="00C375C5"/>
    <w:rsid w:val="00C46D7F"/>
    <w:rsid w:val="00C5719E"/>
    <w:rsid w:val="00C61527"/>
    <w:rsid w:val="00CA05C7"/>
    <w:rsid w:val="00CA79BC"/>
    <w:rsid w:val="00CB2D54"/>
    <w:rsid w:val="00CB347B"/>
    <w:rsid w:val="00CC32E2"/>
    <w:rsid w:val="00CC6F4F"/>
    <w:rsid w:val="00CF269C"/>
    <w:rsid w:val="00CF4C68"/>
    <w:rsid w:val="00CF6439"/>
    <w:rsid w:val="00D03E8B"/>
    <w:rsid w:val="00D04711"/>
    <w:rsid w:val="00D118D1"/>
    <w:rsid w:val="00D21EA0"/>
    <w:rsid w:val="00D31B04"/>
    <w:rsid w:val="00D325EF"/>
    <w:rsid w:val="00D332A5"/>
    <w:rsid w:val="00D348C8"/>
    <w:rsid w:val="00D36AE5"/>
    <w:rsid w:val="00D378BC"/>
    <w:rsid w:val="00D407BA"/>
    <w:rsid w:val="00D450EA"/>
    <w:rsid w:val="00D57D32"/>
    <w:rsid w:val="00D97793"/>
    <w:rsid w:val="00DA6788"/>
    <w:rsid w:val="00DB2412"/>
    <w:rsid w:val="00DC7C5E"/>
    <w:rsid w:val="00DD17B3"/>
    <w:rsid w:val="00DD3C95"/>
    <w:rsid w:val="00DD6EB5"/>
    <w:rsid w:val="00DD7046"/>
    <w:rsid w:val="00DE0B5E"/>
    <w:rsid w:val="00DF0834"/>
    <w:rsid w:val="00DF3043"/>
    <w:rsid w:val="00DF6FC4"/>
    <w:rsid w:val="00E04898"/>
    <w:rsid w:val="00E055E1"/>
    <w:rsid w:val="00E251C3"/>
    <w:rsid w:val="00E27739"/>
    <w:rsid w:val="00E325F8"/>
    <w:rsid w:val="00E3487D"/>
    <w:rsid w:val="00E367BB"/>
    <w:rsid w:val="00E414DE"/>
    <w:rsid w:val="00E44D1C"/>
    <w:rsid w:val="00E51A5B"/>
    <w:rsid w:val="00E56043"/>
    <w:rsid w:val="00E60C61"/>
    <w:rsid w:val="00E736F2"/>
    <w:rsid w:val="00E81A17"/>
    <w:rsid w:val="00E842BA"/>
    <w:rsid w:val="00E94FF9"/>
    <w:rsid w:val="00E95050"/>
    <w:rsid w:val="00EB3225"/>
    <w:rsid w:val="00EB3526"/>
    <w:rsid w:val="00EB5DBE"/>
    <w:rsid w:val="00EB7BD1"/>
    <w:rsid w:val="00ED13CF"/>
    <w:rsid w:val="00ED1931"/>
    <w:rsid w:val="00ED4708"/>
    <w:rsid w:val="00ED69B1"/>
    <w:rsid w:val="00EE270C"/>
    <w:rsid w:val="00EE3749"/>
    <w:rsid w:val="00EE5ABE"/>
    <w:rsid w:val="00EE753F"/>
    <w:rsid w:val="00EF0065"/>
    <w:rsid w:val="00F05BEC"/>
    <w:rsid w:val="00F15C90"/>
    <w:rsid w:val="00F247EA"/>
    <w:rsid w:val="00F254FE"/>
    <w:rsid w:val="00F271EA"/>
    <w:rsid w:val="00F36261"/>
    <w:rsid w:val="00F3635D"/>
    <w:rsid w:val="00F371A8"/>
    <w:rsid w:val="00F67F8E"/>
    <w:rsid w:val="00F775C4"/>
    <w:rsid w:val="00F834D9"/>
    <w:rsid w:val="00F863A2"/>
    <w:rsid w:val="00F9571C"/>
    <w:rsid w:val="00F965A9"/>
    <w:rsid w:val="00FA49A6"/>
    <w:rsid w:val="00FA5FA4"/>
    <w:rsid w:val="00FA7CE8"/>
    <w:rsid w:val="00FB2C68"/>
    <w:rsid w:val="00FC1138"/>
    <w:rsid w:val="00FC1EE5"/>
    <w:rsid w:val="00FC65B1"/>
    <w:rsid w:val="00FD1AB5"/>
    <w:rsid w:val="00FE26E7"/>
    <w:rsid w:val="00FE5040"/>
    <w:rsid w:val="00FE5B31"/>
    <w:rsid w:val="00FE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67BD"/>
  <w14:defaultImageDpi w14:val="32767"/>
  <w15:chartTrackingRefBased/>
  <w15:docId w15:val="{2B18D957-729D-8440-B4D7-C093650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B347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C7C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47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
    <w:name w:val="Body B"/>
    <w:rsid w:val="003D7554"/>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rFonts w:ascii="Times New Roman" w:eastAsia="ヒラギノ角ゴ Pro W3" w:hAnsi="Times New Roman" w:cs="Times New Roman"/>
      <w:color w:val="000000"/>
      <w:sz w:val="23"/>
      <w:szCs w:val="20"/>
      <w:lang w:eastAsia="zh-TW"/>
    </w:rPr>
  </w:style>
  <w:style w:type="paragraph" w:styleId="Header">
    <w:name w:val="header"/>
    <w:basedOn w:val="Normal"/>
    <w:link w:val="HeaderChar"/>
    <w:uiPriority w:val="99"/>
    <w:unhideWhenUsed/>
    <w:rsid w:val="005A760C"/>
    <w:pPr>
      <w:tabs>
        <w:tab w:val="center" w:pos="4513"/>
        <w:tab w:val="right" w:pos="9026"/>
      </w:tabs>
    </w:pPr>
  </w:style>
  <w:style w:type="character" w:customStyle="1" w:styleId="HeaderChar">
    <w:name w:val="Header Char"/>
    <w:basedOn w:val="DefaultParagraphFont"/>
    <w:link w:val="Header"/>
    <w:uiPriority w:val="99"/>
    <w:rsid w:val="005A760C"/>
  </w:style>
  <w:style w:type="paragraph" w:styleId="Footer">
    <w:name w:val="footer"/>
    <w:basedOn w:val="Normal"/>
    <w:link w:val="FooterChar"/>
    <w:uiPriority w:val="99"/>
    <w:unhideWhenUsed/>
    <w:rsid w:val="005A760C"/>
    <w:pPr>
      <w:tabs>
        <w:tab w:val="center" w:pos="4513"/>
        <w:tab w:val="right" w:pos="9026"/>
      </w:tabs>
    </w:pPr>
  </w:style>
  <w:style w:type="character" w:customStyle="1" w:styleId="FooterChar">
    <w:name w:val="Footer Char"/>
    <w:basedOn w:val="DefaultParagraphFont"/>
    <w:link w:val="Footer"/>
    <w:uiPriority w:val="99"/>
    <w:rsid w:val="005A760C"/>
  </w:style>
  <w:style w:type="character" w:styleId="PageNumber">
    <w:name w:val="page number"/>
    <w:basedOn w:val="DefaultParagraphFont"/>
    <w:uiPriority w:val="99"/>
    <w:semiHidden/>
    <w:unhideWhenUsed/>
    <w:rsid w:val="005A760C"/>
  </w:style>
  <w:style w:type="paragraph" w:styleId="FootnoteText">
    <w:name w:val="footnote text"/>
    <w:basedOn w:val="Normal"/>
    <w:link w:val="FootnoteTextChar"/>
    <w:uiPriority w:val="99"/>
    <w:unhideWhenUsed/>
    <w:rsid w:val="00BB7AAD"/>
    <w:rPr>
      <w:sz w:val="20"/>
      <w:szCs w:val="20"/>
    </w:rPr>
  </w:style>
  <w:style w:type="character" w:customStyle="1" w:styleId="FootnoteTextChar">
    <w:name w:val="Footnote Text Char"/>
    <w:basedOn w:val="DefaultParagraphFont"/>
    <w:link w:val="FootnoteText"/>
    <w:uiPriority w:val="99"/>
    <w:rsid w:val="00BB7AAD"/>
    <w:rPr>
      <w:sz w:val="20"/>
      <w:szCs w:val="20"/>
    </w:rPr>
  </w:style>
  <w:style w:type="character" w:styleId="FootnoteReference">
    <w:name w:val="footnote reference"/>
    <w:basedOn w:val="DefaultParagraphFont"/>
    <w:uiPriority w:val="99"/>
    <w:semiHidden/>
    <w:unhideWhenUsed/>
    <w:rsid w:val="00BB7AAD"/>
    <w:rPr>
      <w:vertAlign w:val="superscript"/>
    </w:rPr>
  </w:style>
  <w:style w:type="character" w:styleId="CommentReference">
    <w:name w:val="annotation reference"/>
    <w:basedOn w:val="DefaultParagraphFont"/>
    <w:uiPriority w:val="99"/>
    <w:semiHidden/>
    <w:unhideWhenUsed/>
    <w:rsid w:val="00DA6788"/>
    <w:rPr>
      <w:sz w:val="16"/>
      <w:szCs w:val="16"/>
    </w:rPr>
  </w:style>
  <w:style w:type="paragraph" w:styleId="CommentText">
    <w:name w:val="annotation text"/>
    <w:basedOn w:val="Normal"/>
    <w:link w:val="CommentTextChar"/>
    <w:uiPriority w:val="99"/>
    <w:semiHidden/>
    <w:unhideWhenUsed/>
    <w:rsid w:val="00DA6788"/>
    <w:rPr>
      <w:sz w:val="20"/>
      <w:szCs w:val="20"/>
    </w:rPr>
  </w:style>
  <w:style w:type="character" w:customStyle="1" w:styleId="CommentTextChar">
    <w:name w:val="Comment Text Char"/>
    <w:basedOn w:val="DefaultParagraphFont"/>
    <w:link w:val="CommentText"/>
    <w:uiPriority w:val="99"/>
    <w:semiHidden/>
    <w:rsid w:val="00DA6788"/>
    <w:rPr>
      <w:sz w:val="20"/>
      <w:szCs w:val="20"/>
    </w:rPr>
  </w:style>
  <w:style w:type="paragraph" w:styleId="CommentSubject">
    <w:name w:val="annotation subject"/>
    <w:basedOn w:val="CommentText"/>
    <w:next w:val="CommentText"/>
    <w:link w:val="CommentSubjectChar"/>
    <w:uiPriority w:val="99"/>
    <w:semiHidden/>
    <w:unhideWhenUsed/>
    <w:rsid w:val="00DA6788"/>
    <w:rPr>
      <w:b/>
      <w:bCs/>
    </w:rPr>
  </w:style>
  <w:style w:type="character" w:customStyle="1" w:styleId="CommentSubjectChar">
    <w:name w:val="Comment Subject Char"/>
    <w:basedOn w:val="CommentTextChar"/>
    <w:link w:val="CommentSubject"/>
    <w:uiPriority w:val="99"/>
    <w:semiHidden/>
    <w:rsid w:val="00DA6788"/>
    <w:rPr>
      <w:b/>
      <w:bCs/>
      <w:sz w:val="20"/>
      <w:szCs w:val="20"/>
    </w:rPr>
  </w:style>
  <w:style w:type="paragraph" w:styleId="BalloonText">
    <w:name w:val="Balloon Text"/>
    <w:basedOn w:val="Normal"/>
    <w:link w:val="BalloonTextChar"/>
    <w:uiPriority w:val="99"/>
    <w:semiHidden/>
    <w:unhideWhenUsed/>
    <w:rsid w:val="00DA67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6788"/>
    <w:rPr>
      <w:rFonts w:ascii="Times New Roman" w:hAnsi="Times New Roman" w:cs="Times New Roman"/>
      <w:sz w:val="18"/>
      <w:szCs w:val="18"/>
    </w:rPr>
  </w:style>
  <w:style w:type="character" w:customStyle="1" w:styleId="Heading1Char">
    <w:name w:val="Heading 1 Char"/>
    <w:basedOn w:val="DefaultParagraphFont"/>
    <w:link w:val="Heading1"/>
    <w:uiPriority w:val="9"/>
    <w:rsid w:val="00CB34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B347B"/>
    <w:rPr>
      <w:color w:val="0563C1" w:themeColor="hyperlink"/>
      <w:u w:val="single"/>
    </w:rPr>
  </w:style>
  <w:style w:type="character" w:styleId="UnresolvedMention">
    <w:name w:val="Unresolved Mention"/>
    <w:basedOn w:val="DefaultParagraphFont"/>
    <w:uiPriority w:val="99"/>
    <w:rsid w:val="00CB347B"/>
    <w:rPr>
      <w:color w:val="605E5C"/>
      <w:shd w:val="clear" w:color="auto" w:fill="E1DFDD"/>
    </w:rPr>
  </w:style>
  <w:style w:type="character" w:customStyle="1" w:styleId="Heading3Char">
    <w:name w:val="Heading 3 Char"/>
    <w:basedOn w:val="DefaultParagraphFont"/>
    <w:link w:val="Heading3"/>
    <w:uiPriority w:val="9"/>
    <w:rsid w:val="002247DA"/>
    <w:rPr>
      <w:rFonts w:asciiTheme="majorHAnsi" w:eastAsiaTheme="majorEastAsia" w:hAnsiTheme="majorHAnsi" w:cstheme="majorBidi"/>
      <w:color w:val="1F3763" w:themeColor="accent1" w:themeShade="7F"/>
    </w:rPr>
  </w:style>
  <w:style w:type="character" w:customStyle="1" w:styleId="author-name">
    <w:name w:val="author-name"/>
    <w:basedOn w:val="DefaultParagraphFont"/>
    <w:rsid w:val="002247DA"/>
  </w:style>
  <w:style w:type="character" w:customStyle="1" w:styleId="st">
    <w:name w:val="st"/>
    <w:basedOn w:val="DefaultParagraphFont"/>
    <w:rsid w:val="006C3464"/>
  </w:style>
  <w:style w:type="character" w:styleId="Emphasis">
    <w:name w:val="Emphasis"/>
    <w:basedOn w:val="DefaultParagraphFont"/>
    <w:uiPriority w:val="20"/>
    <w:qFormat/>
    <w:rsid w:val="006C3464"/>
    <w:rPr>
      <w:i/>
      <w:iCs/>
    </w:rPr>
  </w:style>
  <w:style w:type="character" w:customStyle="1" w:styleId="citetitle">
    <w:name w:val="cite_title"/>
    <w:basedOn w:val="DefaultParagraphFont"/>
    <w:rsid w:val="00B7607C"/>
  </w:style>
  <w:style w:type="character" w:customStyle="1" w:styleId="searchterm">
    <w:name w:val="searchterm"/>
    <w:basedOn w:val="DefaultParagraphFont"/>
    <w:rsid w:val="00CB2D54"/>
  </w:style>
  <w:style w:type="paragraph" w:styleId="NormalWeb">
    <w:name w:val="Normal (Web)"/>
    <w:basedOn w:val="Normal"/>
    <w:uiPriority w:val="99"/>
    <w:semiHidden/>
    <w:unhideWhenUsed/>
    <w:rsid w:val="00F863A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C7C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7745">
      <w:bodyDiv w:val="1"/>
      <w:marLeft w:val="0"/>
      <w:marRight w:val="0"/>
      <w:marTop w:val="0"/>
      <w:marBottom w:val="0"/>
      <w:divBdr>
        <w:top w:val="none" w:sz="0" w:space="0" w:color="auto"/>
        <w:left w:val="none" w:sz="0" w:space="0" w:color="auto"/>
        <w:bottom w:val="none" w:sz="0" w:space="0" w:color="auto"/>
        <w:right w:val="none" w:sz="0" w:space="0" w:color="auto"/>
      </w:divBdr>
    </w:div>
    <w:div w:id="437990384">
      <w:bodyDiv w:val="1"/>
      <w:marLeft w:val="0"/>
      <w:marRight w:val="0"/>
      <w:marTop w:val="0"/>
      <w:marBottom w:val="0"/>
      <w:divBdr>
        <w:top w:val="none" w:sz="0" w:space="0" w:color="auto"/>
        <w:left w:val="none" w:sz="0" w:space="0" w:color="auto"/>
        <w:bottom w:val="none" w:sz="0" w:space="0" w:color="auto"/>
        <w:right w:val="none" w:sz="0" w:space="0" w:color="auto"/>
      </w:divBdr>
    </w:div>
    <w:div w:id="442922482">
      <w:bodyDiv w:val="1"/>
      <w:marLeft w:val="0"/>
      <w:marRight w:val="0"/>
      <w:marTop w:val="0"/>
      <w:marBottom w:val="0"/>
      <w:divBdr>
        <w:top w:val="none" w:sz="0" w:space="0" w:color="auto"/>
        <w:left w:val="none" w:sz="0" w:space="0" w:color="auto"/>
        <w:bottom w:val="none" w:sz="0" w:space="0" w:color="auto"/>
        <w:right w:val="none" w:sz="0" w:space="0" w:color="auto"/>
      </w:divBdr>
    </w:div>
    <w:div w:id="568153724">
      <w:bodyDiv w:val="1"/>
      <w:marLeft w:val="0"/>
      <w:marRight w:val="0"/>
      <w:marTop w:val="0"/>
      <w:marBottom w:val="0"/>
      <w:divBdr>
        <w:top w:val="none" w:sz="0" w:space="0" w:color="auto"/>
        <w:left w:val="none" w:sz="0" w:space="0" w:color="auto"/>
        <w:bottom w:val="none" w:sz="0" w:space="0" w:color="auto"/>
        <w:right w:val="none" w:sz="0" w:space="0" w:color="auto"/>
      </w:divBdr>
    </w:div>
    <w:div w:id="581723539">
      <w:bodyDiv w:val="1"/>
      <w:marLeft w:val="0"/>
      <w:marRight w:val="0"/>
      <w:marTop w:val="0"/>
      <w:marBottom w:val="0"/>
      <w:divBdr>
        <w:top w:val="none" w:sz="0" w:space="0" w:color="auto"/>
        <w:left w:val="none" w:sz="0" w:space="0" w:color="auto"/>
        <w:bottom w:val="none" w:sz="0" w:space="0" w:color="auto"/>
        <w:right w:val="none" w:sz="0" w:space="0" w:color="auto"/>
      </w:divBdr>
    </w:div>
    <w:div w:id="873420970">
      <w:bodyDiv w:val="1"/>
      <w:marLeft w:val="0"/>
      <w:marRight w:val="0"/>
      <w:marTop w:val="0"/>
      <w:marBottom w:val="0"/>
      <w:divBdr>
        <w:top w:val="none" w:sz="0" w:space="0" w:color="auto"/>
        <w:left w:val="none" w:sz="0" w:space="0" w:color="auto"/>
        <w:bottom w:val="none" w:sz="0" w:space="0" w:color="auto"/>
        <w:right w:val="none" w:sz="0" w:space="0" w:color="auto"/>
      </w:divBdr>
    </w:div>
    <w:div w:id="902059467">
      <w:bodyDiv w:val="1"/>
      <w:marLeft w:val="0"/>
      <w:marRight w:val="0"/>
      <w:marTop w:val="0"/>
      <w:marBottom w:val="0"/>
      <w:divBdr>
        <w:top w:val="none" w:sz="0" w:space="0" w:color="auto"/>
        <w:left w:val="none" w:sz="0" w:space="0" w:color="auto"/>
        <w:bottom w:val="none" w:sz="0" w:space="0" w:color="auto"/>
        <w:right w:val="none" w:sz="0" w:space="0" w:color="auto"/>
      </w:divBdr>
      <w:divsChild>
        <w:div w:id="1805655957">
          <w:marLeft w:val="0"/>
          <w:marRight w:val="0"/>
          <w:marTop w:val="0"/>
          <w:marBottom w:val="0"/>
          <w:divBdr>
            <w:top w:val="none" w:sz="0" w:space="0" w:color="auto"/>
            <w:left w:val="none" w:sz="0" w:space="0" w:color="auto"/>
            <w:bottom w:val="none" w:sz="0" w:space="0" w:color="auto"/>
            <w:right w:val="none" w:sz="0" w:space="0" w:color="auto"/>
          </w:divBdr>
          <w:divsChild>
            <w:div w:id="12022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5450">
      <w:bodyDiv w:val="1"/>
      <w:marLeft w:val="0"/>
      <w:marRight w:val="0"/>
      <w:marTop w:val="0"/>
      <w:marBottom w:val="0"/>
      <w:divBdr>
        <w:top w:val="none" w:sz="0" w:space="0" w:color="auto"/>
        <w:left w:val="none" w:sz="0" w:space="0" w:color="auto"/>
        <w:bottom w:val="none" w:sz="0" w:space="0" w:color="auto"/>
        <w:right w:val="none" w:sz="0" w:space="0" w:color="auto"/>
      </w:divBdr>
    </w:div>
    <w:div w:id="1414664586">
      <w:bodyDiv w:val="1"/>
      <w:marLeft w:val="0"/>
      <w:marRight w:val="0"/>
      <w:marTop w:val="0"/>
      <w:marBottom w:val="0"/>
      <w:divBdr>
        <w:top w:val="none" w:sz="0" w:space="0" w:color="auto"/>
        <w:left w:val="none" w:sz="0" w:space="0" w:color="auto"/>
        <w:bottom w:val="none" w:sz="0" w:space="0" w:color="auto"/>
        <w:right w:val="none" w:sz="0" w:space="0" w:color="auto"/>
      </w:divBdr>
    </w:div>
    <w:div w:id="1546986244">
      <w:bodyDiv w:val="1"/>
      <w:marLeft w:val="0"/>
      <w:marRight w:val="0"/>
      <w:marTop w:val="0"/>
      <w:marBottom w:val="0"/>
      <w:divBdr>
        <w:top w:val="none" w:sz="0" w:space="0" w:color="auto"/>
        <w:left w:val="none" w:sz="0" w:space="0" w:color="auto"/>
        <w:bottom w:val="none" w:sz="0" w:space="0" w:color="auto"/>
        <w:right w:val="none" w:sz="0" w:space="0" w:color="auto"/>
      </w:divBdr>
    </w:div>
    <w:div w:id="1740521022">
      <w:bodyDiv w:val="1"/>
      <w:marLeft w:val="0"/>
      <w:marRight w:val="0"/>
      <w:marTop w:val="0"/>
      <w:marBottom w:val="0"/>
      <w:divBdr>
        <w:top w:val="none" w:sz="0" w:space="0" w:color="auto"/>
        <w:left w:val="none" w:sz="0" w:space="0" w:color="auto"/>
        <w:bottom w:val="none" w:sz="0" w:space="0" w:color="auto"/>
        <w:right w:val="none" w:sz="0" w:space="0" w:color="auto"/>
      </w:divBdr>
    </w:div>
    <w:div w:id="1786997816">
      <w:bodyDiv w:val="1"/>
      <w:marLeft w:val="0"/>
      <w:marRight w:val="0"/>
      <w:marTop w:val="0"/>
      <w:marBottom w:val="0"/>
      <w:divBdr>
        <w:top w:val="none" w:sz="0" w:space="0" w:color="auto"/>
        <w:left w:val="none" w:sz="0" w:space="0" w:color="auto"/>
        <w:bottom w:val="none" w:sz="0" w:space="0" w:color="auto"/>
        <w:right w:val="none" w:sz="0" w:space="0" w:color="auto"/>
      </w:divBdr>
    </w:div>
    <w:div w:id="1812208610">
      <w:bodyDiv w:val="1"/>
      <w:marLeft w:val="0"/>
      <w:marRight w:val="0"/>
      <w:marTop w:val="0"/>
      <w:marBottom w:val="0"/>
      <w:divBdr>
        <w:top w:val="none" w:sz="0" w:space="0" w:color="auto"/>
        <w:left w:val="none" w:sz="0" w:space="0" w:color="auto"/>
        <w:bottom w:val="none" w:sz="0" w:space="0" w:color="auto"/>
        <w:right w:val="none" w:sz="0" w:space="0" w:color="auto"/>
      </w:divBdr>
    </w:div>
    <w:div w:id="20229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xology.com/library/detail.aspx?g=9f4f778b-efe4-4f99-80e2-55224832f5d9" TargetMode="External"/><Relationship Id="rId2" Type="http://schemas.openxmlformats.org/officeDocument/2006/relationships/hyperlink" Target="https://www.theguardian.com/environment/2018/mar/20/can-climate-litigation-save-the-world" TargetMode="External"/><Relationship Id="rId1" Type="http://schemas.openxmlformats.org/officeDocument/2006/relationships/hyperlink" Target="https://www.newstatesman.com/politics/energy/2018/03/how-uk-cities-could-start-suing-over-extreme-weather" TargetMode="External"/><Relationship Id="rId4" Type="http://schemas.openxmlformats.org/officeDocument/2006/relationships/hyperlink" Target="https://www.leighday.co.uk/Blog/October-2017/Climate-change-litigation-too-hot-to-han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Ross</dc:creator>
  <cp:keywords/>
  <dc:description/>
  <cp:lastModifiedBy>Lizzie Blair</cp:lastModifiedBy>
  <cp:revision>2</cp:revision>
  <dcterms:created xsi:type="dcterms:W3CDTF">2019-09-23T15:25:00Z</dcterms:created>
  <dcterms:modified xsi:type="dcterms:W3CDTF">2019-09-23T15:25:00Z</dcterms:modified>
</cp:coreProperties>
</file>